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230F" w14:textId="77777777" w:rsidR="00EE0D03" w:rsidRPr="00EE0D03" w:rsidRDefault="00C21FA7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 xml:space="preserve">RSL Music Practitioner in Performance </w:t>
      </w:r>
      <w:r w:rsidR="00D81E0B">
        <w:rPr>
          <w:rFonts w:ascii="Neutraface Text Bold" w:hAnsi="Neutraface Text Bold"/>
          <w:b/>
          <w:sz w:val="36"/>
        </w:rPr>
        <w:t xml:space="preserve">Year </w:t>
      </w:r>
      <w:r w:rsidR="00E1322A">
        <w:rPr>
          <w:rFonts w:ascii="Neutraface Text Bold" w:hAnsi="Neutraface Text Bold"/>
          <w:b/>
          <w:sz w:val="36"/>
        </w:rPr>
        <w:t>11</w:t>
      </w:r>
      <w:r w:rsidR="00D81E0B">
        <w:rPr>
          <w:rFonts w:ascii="Neutraface Text Bold" w:hAnsi="Neutraface Text Bold"/>
          <w:b/>
          <w:sz w:val="36"/>
        </w:rPr>
        <w:t xml:space="preserve"> </w:t>
      </w:r>
    </w:p>
    <w:tbl>
      <w:tblPr>
        <w:tblStyle w:val="TableGrid"/>
        <w:tblW w:w="10192" w:type="dxa"/>
        <w:tblInd w:w="-284" w:type="dxa"/>
        <w:tblLook w:val="04A0" w:firstRow="1" w:lastRow="0" w:firstColumn="1" w:lastColumn="0" w:noHBand="0" w:noVBand="1"/>
      </w:tblPr>
      <w:tblGrid>
        <w:gridCol w:w="523"/>
        <w:gridCol w:w="3219"/>
        <w:gridCol w:w="3187"/>
        <w:gridCol w:w="3263"/>
      </w:tblGrid>
      <w:tr w:rsidR="00183604" w:rsidRPr="00EE0D03" w14:paraId="23C68D3F" w14:textId="77777777" w:rsidTr="006A2A05">
        <w:trPr>
          <w:trHeight w:val="340"/>
        </w:trPr>
        <w:tc>
          <w:tcPr>
            <w:tcW w:w="523" w:type="dxa"/>
            <w:tcBorders>
              <w:top w:val="nil"/>
              <w:left w:val="nil"/>
            </w:tcBorders>
          </w:tcPr>
          <w:p w14:paraId="2CF9A9DA" w14:textId="77777777" w:rsidR="00183604" w:rsidRPr="00EE0D03" w:rsidRDefault="00183604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3219" w:type="dxa"/>
            <w:shd w:val="clear" w:color="auto" w:fill="FBE4D5" w:themeFill="accent2" w:themeFillTint="33"/>
          </w:tcPr>
          <w:p w14:paraId="72DB8710" w14:textId="269C007E" w:rsidR="00183604" w:rsidRPr="00EE0D03" w:rsidRDefault="00183604" w:rsidP="003E35C5">
            <w:pPr>
              <w:jc w:val="center"/>
              <w:rPr>
                <w:rFonts w:ascii="Neutraface Text Book" w:hAnsi="Neutraface Text Book"/>
                <w:sz w:val="24"/>
              </w:rPr>
            </w:pPr>
            <w:r w:rsidRPr="00EE0D03">
              <w:rPr>
                <w:rFonts w:ascii="Neutraface Text Book" w:hAnsi="Neutraface Text Book"/>
                <w:sz w:val="24"/>
              </w:rPr>
              <w:t>Autumn 1</w:t>
            </w:r>
            <w:r>
              <w:rPr>
                <w:rFonts w:ascii="Neutraface Text Book" w:hAnsi="Neutraface Text Book"/>
                <w:sz w:val="24"/>
              </w:rPr>
              <w:t xml:space="preserve"> &amp; </w:t>
            </w:r>
            <w:r w:rsidRPr="00EE0D03">
              <w:rPr>
                <w:rFonts w:ascii="Neutraface Text Book" w:hAnsi="Neutraface Text Book"/>
                <w:sz w:val="24"/>
              </w:rPr>
              <w:t>2</w:t>
            </w:r>
          </w:p>
        </w:tc>
        <w:tc>
          <w:tcPr>
            <w:tcW w:w="3187" w:type="dxa"/>
            <w:shd w:val="clear" w:color="auto" w:fill="C5E0B3" w:themeFill="accent6" w:themeFillTint="66"/>
          </w:tcPr>
          <w:p w14:paraId="3105986F" w14:textId="769FF0D6" w:rsidR="00183604" w:rsidRPr="00EE0D03" w:rsidRDefault="00183604" w:rsidP="003E35C5">
            <w:pPr>
              <w:jc w:val="center"/>
              <w:rPr>
                <w:rFonts w:ascii="Neutraface Text Book" w:hAnsi="Neutraface Text Book"/>
                <w:sz w:val="24"/>
              </w:rPr>
            </w:pPr>
            <w:r w:rsidRPr="00EE0D03">
              <w:rPr>
                <w:rFonts w:ascii="Neutraface Text Book" w:hAnsi="Neutraface Text Book"/>
                <w:sz w:val="24"/>
              </w:rPr>
              <w:t>Spring 1</w:t>
            </w:r>
            <w:r>
              <w:rPr>
                <w:rFonts w:ascii="Neutraface Text Book" w:hAnsi="Neutraface Text Book"/>
                <w:sz w:val="24"/>
              </w:rPr>
              <w:t xml:space="preserve"> &amp;</w:t>
            </w:r>
            <w:r w:rsidRPr="00EE0D03">
              <w:rPr>
                <w:rFonts w:ascii="Neutraface Text Book" w:hAnsi="Neutraface Text Book"/>
                <w:sz w:val="24"/>
              </w:rPr>
              <w:t xml:space="preserve"> 2</w:t>
            </w:r>
          </w:p>
        </w:tc>
        <w:tc>
          <w:tcPr>
            <w:tcW w:w="3263" w:type="dxa"/>
            <w:shd w:val="clear" w:color="auto" w:fill="FFE599" w:themeFill="accent4" w:themeFillTint="66"/>
          </w:tcPr>
          <w:p w14:paraId="57F66D28" w14:textId="7CF71240" w:rsidR="00183604" w:rsidRPr="00EE0D03" w:rsidRDefault="00183604" w:rsidP="003E35C5">
            <w:pPr>
              <w:jc w:val="center"/>
              <w:rPr>
                <w:rFonts w:ascii="Neutraface Text Book" w:hAnsi="Neutraface Text Book"/>
                <w:sz w:val="24"/>
              </w:rPr>
            </w:pPr>
            <w:r w:rsidRPr="00EE0D03">
              <w:rPr>
                <w:rFonts w:ascii="Neutraface Text Book" w:hAnsi="Neutraface Text Book"/>
                <w:sz w:val="24"/>
              </w:rPr>
              <w:t xml:space="preserve">Summer </w:t>
            </w:r>
            <w:r>
              <w:rPr>
                <w:rFonts w:ascii="Neutraface Text Book" w:hAnsi="Neutraface Text Book"/>
                <w:sz w:val="24"/>
              </w:rPr>
              <w:t>1</w:t>
            </w:r>
          </w:p>
        </w:tc>
      </w:tr>
      <w:tr w:rsidR="00183604" w:rsidRPr="00EE0D03" w14:paraId="3487C2F0" w14:textId="77777777" w:rsidTr="00D15128">
        <w:trPr>
          <w:cantSplit/>
          <w:trHeight w:val="1134"/>
        </w:trPr>
        <w:tc>
          <w:tcPr>
            <w:tcW w:w="523" w:type="dxa"/>
            <w:textDirection w:val="btLr"/>
          </w:tcPr>
          <w:p w14:paraId="13256B14" w14:textId="77777777" w:rsidR="00183604" w:rsidRPr="00EE0D03" w:rsidRDefault="00183604" w:rsidP="00D43542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Topics</w:t>
            </w:r>
          </w:p>
        </w:tc>
        <w:tc>
          <w:tcPr>
            <w:tcW w:w="3219" w:type="dxa"/>
            <w:shd w:val="clear" w:color="auto" w:fill="FBE4D5" w:themeFill="accent2" w:themeFillTint="33"/>
          </w:tcPr>
          <w:p w14:paraId="61C1C6EE" w14:textId="77777777" w:rsidR="00183604" w:rsidRPr="007C3A7C" w:rsidRDefault="00183604" w:rsidP="00D43542">
            <w:pPr>
              <w:rPr>
                <w:rFonts w:ascii="Neutraface Text Book" w:hAnsi="Neutraface Text Book"/>
                <w:b/>
                <w:bCs/>
                <w:sz w:val="24"/>
              </w:rPr>
            </w:pPr>
            <w:r w:rsidRPr="007C3A7C">
              <w:rPr>
                <w:rFonts w:ascii="Neutraface Text Book" w:hAnsi="Neutraface Text Book"/>
                <w:b/>
                <w:bCs/>
                <w:sz w:val="24"/>
              </w:rPr>
              <w:t xml:space="preserve">Introduction to Live Music Performance </w:t>
            </w:r>
          </w:p>
          <w:p w14:paraId="3D06DE97" w14:textId="1BFEE97D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Rehearsal diaries</w:t>
            </w:r>
          </w:p>
          <w:p w14:paraId="246279C7" w14:textId="76BF7840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Stage Plan</w:t>
            </w:r>
          </w:p>
          <w:p w14:paraId="49EA9C15" w14:textId="482B0AC7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Meeting the brief</w:t>
            </w:r>
          </w:p>
          <w:p w14:paraId="6D793D93" w14:textId="0B0CFED1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Mock concert</w:t>
            </w:r>
          </w:p>
          <w:p w14:paraId="7F7B1297" w14:textId="266091B0" w:rsidR="00183604" w:rsidRPr="00EE0D03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(202 – 2.1, 2.2, 3.1, 3.2)</w:t>
            </w:r>
          </w:p>
        </w:tc>
        <w:tc>
          <w:tcPr>
            <w:tcW w:w="3187" w:type="dxa"/>
            <w:shd w:val="clear" w:color="auto" w:fill="C5E0B3" w:themeFill="accent6" w:themeFillTint="66"/>
          </w:tcPr>
          <w:p w14:paraId="12529A0F" w14:textId="308BDB8E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Live Music Performance</w:t>
            </w:r>
          </w:p>
          <w:p w14:paraId="05ECE7A0" w14:textId="77777777" w:rsidR="00183604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(202 – 3.2)  </w:t>
            </w:r>
          </w:p>
          <w:p w14:paraId="6CA3F36A" w14:textId="77777777" w:rsidR="00183604" w:rsidRDefault="00183604" w:rsidP="0018360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Rehearsal diaries</w:t>
            </w:r>
          </w:p>
          <w:p w14:paraId="68BE09F0" w14:textId="77777777" w:rsidR="00183604" w:rsidRDefault="00183604" w:rsidP="0018360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Stage Plan</w:t>
            </w:r>
          </w:p>
          <w:p w14:paraId="5D9033B2" w14:textId="77777777" w:rsidR="00183604" w:rsidRDefault="00183604" w:rsidP="0018360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Meeting the brief</w:t>
            </w:r>
          </w:p>
          <w:p w14:paraId="001C2902" w14:textId="52302A47" w:rsidR="00183604" w:rsidRDefault="00183604" w:rsidP="0018360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Final </w:t>
            </w:r>
            <w:r>
              <w:rPr>
                <w:rFonts w:ascii="Neutraface Text Book" w:hAnsi="Neutraface Text Book"/>
                <w:sz w:val="24"/>
              </w:rPr>
              <w:t>concert</w:t>
            </w:r>
          </w:p>
          <w:p w14:paraId="51912805" w14:textId="306161B0" w:rsidR="00183604" w:rsidRPr="00EE0D03" w:rsidRDefault="00183604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(202 – 2.1, 2.2, 3.1, 3.2)</w:t>
            </w:r>
          </w:p>
        </w:tc>
        <w:tc>
          <w:tcPr>
            <w:tcW w:w="3263" w:type="dxa"/>
            <w:shd w:val="clear" w:color="auto" w:fill="FFE599" w:themeFill="accent4" w:themeFillTint="66"/>
          </w:tcPr>
          <w:p w14:paraId="0197B858" w14:textId="34CA6677" w:rsidR="00183604" w:rsidRPr="00EE0D03" w:rsidRDefault="003E35C5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Resubmissions,</w:t>
            </w:r>
            <w:r w:rsidR="008D42EC">
              <w:rPr>
                <w:rFonts w:ascii="Neutraface Text Book" w:hAnsi="Neutraface Text Book"/>
                <w:sz w:val="24"/>
              </w:rPr>
              <w:t xml:space="preserve"> if </w:t>
            </w:r>
            <w:r w:rsidR="00DA77E5">
              <w:rPr>
                <w:rFonts w:ascii="Neutraface Text Book" w:hAnsi="Neutraface Text Book"/>
                <w:sz w:val="24"/>
              </w:rPr>
              <w:t>necessary,</w:t>
            </w:r>
            <w:r w:rsidR="008D42EC">
              <w:rPr>
                <w:rFonts w:ascii="Neutraface Text Book" w:hAnsi="Neutraface Text Book"/>
                <w:sz w:val="24"/>
              </w:rPr>
              <w:t xml:space="preserve"> as specified by RSL following </w:t>
            </w:r>
            <w:r>
              <w:rPr>
                <w:rFonts w:ascii="Neutraface Text Book" w:hAnsi="Neutraface Text Book"/>
                <w:sz w:val="24"/>
              </w:rPr>
              <w:t>external marking</w:t>
            </w:r>
            <w:r w:rsidR="008D42EC">
              <w:rPr>
                <w:rFonts w:ascii="Neutraface Text Book" w:hAnsi="Neutraface Text Book"/>
                <w:sz w:val="24"/>
              </w:rPr>
              <w:t xml:space="preserve"> of 202</w:t>
            </w:r>
          </w:p>
        </w:tc>
      </w:tr>
      <w:tr w:rsidR="00DA77E5" w:rsidRPr="00EE0D03" w14:paraId="5A36C7C9" w14:textId="77777777" w:rsidTr="00073515">
        <w:trPr>
          <w:cantSplit/>
          <w:trHeight w:val="1545"/>
        </w:trPr>
        <w:tc>
          <w:tcPr>
            <w:tcW w:w="523" w:type="dxa"/>
            <w:textDirection w:val="btLr"/>
          </w:tcPr>
          <w:p w14:paraId="574E4927" w14:textId="77777777" w:rsidR="00DA77E5" w:rsidRPr="00EE0D03" w:rsidRDefault="00DA77E5" w:rsidP="00D43542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As</w:t>
            </w:r>
            <w:r w:rsidRPr="00EE0D03">
              <w:rPr>
                <w:rFonts w:ascii="Neutraface Text Book" w:hAnsi="Neutraface Text Book"/>
                <w:sz w:val="24"/>
              </w:rPr>
              <w:t>sessment</w:t>
            </w:r>
          </w:p>
        </w:tc>
        <w:tc>
          <w:tcPr>
            <w:tcW w:w="3219" w:type="dxa"/>
          </w:tcPr>
          <w:p w14:paraId="0CAE93F8" w14:textId="77777777" w:rsidR="00DA77E5" w:rsidRDefault="00DA77E5" w:rsidP="00E1322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Formative assessment of </w:t>
            </w:r>
          </w:p>
          <w:p w14:paraId="25C8E0B0" w14:textId="0E3E722B" w:rsidR="00DA77E5" w:rsidRDefault="00DA77E5" w:rsidP="00E1322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204 – 1.1, 1.2 </w:t>
            </w:r>
          </w:p>
          <w:p w14:paraId="569E7C7A" w14:textId="7794E2AC" w:rsidR="00DA77E5" w:rsidRPr="00EE0D03" w:rsidRDefault="00DA77E5" w:rsidP="00E1322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201 – 1.1</w:t>
            </w:r>
          </w:p>
          <w:p w14:paraId="2CDD43D2" w14:textId="0BDED8BF" w:rsidR="00DA77E5" w:rsidRPr="00EE0D03" w:rsidRDefault="00DA77E5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201 – 1.2</w:t>
            </w:r>
          </w:p>
        </w:tc>
        <w:tc>
          <w:tcPr>
            <w:tcW w:w="3187" w:type="dxa"/>
          </w:tcPr>
          <w:p w14:paraId="1ECD5112" w14:textId="6231D9A9" w:rsidR="00DA77E5" w:rsidRPr="00EE0D03" w:rsidRDefault="00DA77E5" w:rsidP="00D43542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Portfolio completed and submitted to RSL</w:t>
            </w:r>
          </w:p>
        </w:tc>
        <w:tc>
          <w:tcPr>
            <w:tcW w:w="3263" w:type="dxa"/>
          </w:tcPr>
          <w:p w14:paraId="7262FAA7" w14:textId="77777777" w:rsidR="00DA77E5" w:rsidRPr="00EE0D03" w:rsidRDefault="00DA77E5" w:rsidP="00DA77E5">
            <w:pPr>
              <w:rPr>
                <w:rFonts w:ascii="Neutraface Text Book" w:hAnsi="Neutraface Text Book"/>
                <w:sz w:val="24"/>
              </w:rPr>
            </w:pPr>
          </w:p>
        </w:tc>
      </w:tr>
    </w:tbl>
    <w:p w14:paraId="029B5240" w14:textId="77777777" w:rsidR="00EB5F0D" w:rsidRPr="00EE0D03" w:rsidRDefault="00EB5F0D">
      <w:pPr>
        <w:rPr>
          <w:rFonts w:ascii="Neutraface Text Book" w:hAnsi="Neutraface Text Book"/>
          <w:sz w:val="24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44410D" w:rsidRPr="004264A0" w14:paraId="67C9ACD4" w14:textId="77777777" w:rsidTr="00774B72">
        <w:tc>
          <w:tcPr>
            <w:tcW w:w="1702" w:type="dxa"/>
          </w:tcPr>
          <w:p w14:paraId="1BAF07C4" w14:textId="77777777" w:rsidR="0044410D" w:rsidRPr="004264A0" w:rsidRDefault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Building on Prior Learning</w:t>
            </w:r>
          </w:p>
        </w:tc>
        <w:tc>
          <w:tcPr>
            <w:tcW w:w="8505" w:type="dxa"/>
          </w:tcPr>
          <w:p w14:paraId="24C9AB9F" w14:textId="03B394A0" w:rsidR="0044410D" w:rsidRPr="004264A0" w:rsidRDefault="00F26230" w:rsidP="00F26230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Consolidation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 xml:space="preserve"> of music literacy skills (reading notations) and understanding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more advanced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 xml:space="preserve"> music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al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 xml:space="preserve"> concepts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 and the </w:t>
            </w:r>
            <w:r w:rsidR="00D43542" w:rsidRPr="004264A0">
              <w:rPr>
                <w:rFonts w:ascii="Neutraface Text Book" w:hAnsi="Neutraface Text Book"/>
                <w:sz w:val="20"/>
                <w:szCs w:val="20"/>
              </w:rPr>
              <w:t xml:space="preserve">knowledge of the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manipulation of devices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  <w:r w:rsidR="003E35C5" w:rsidRPr="004264A0">
              <w:rPr>
                <w:rFonts w:ascii="Neutraface Text Book" w:hAnsi="Neutraface Text Book"/>
                <w:sz w:val="20"/>
                <w:szCs w:val="20"/>
              </w:rPr>
              <w:t>e.g.,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tonality, harmony, texture, melodic techniques.</w:t>
            </w:r>
          </w:p>
        </w:tc>
      </w:tr>
      <w:tr w:rsidR="0044410D" w:rsidRPr="004264A0" w14:paraId="66BCA73E" w14:textId="77777777" w:rsidTr="00774B72">
        <w:tc>
          <w:tcPr>
            <w:tcW w:w="1702" w:type="dxa"/>
          </w:tcPr>
          <w:p w14:paraId="3EF83874" w14:textId="77777777" w:rsidR="0044410D" w:rsidRPr="004264A0" w:rsidRDefault="00837151" w:rsidP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Links with other subjects</w:t>
            </w:r>
          </w:p>
        </w:tc>
        <w:tc>
          <w:tcPr>
            <w:tcW w:w="8505" w:type="dxa"/>
          </w:tcPr>
          <w:p w14:paraId="539A8225" w14:textId="77777777" w:rsidR="0044410D" w:rsidRPr="004264A0" w:rsidRDefault="00F26230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Numeracy</w:t>
            </w:r>
            <w:r w:rsidR="00D81E0B" w:rsidRPr="004264A0">
              <w:rPr>
                <w:rFonts w:ascii="Neutraface Text Book" w:hAnsi="Neutraface Text Book"/>
                <w:sz w:val="20"/>
                <w:szCs w:val="20"/>
              </w:rPr>
              <w:t>; counting beats, bars, sequences, durations, fractions.</w:t>
            </w:r>
          </w:p>
          <w:p w14:paraId="697FB4A2" w14:textId="77777777" w:rsidR="00D81E0B" w:rsidRPr="004264A0" w:rsidRDefault="00D81E0B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Literacy; music specific vocabulary</w:t>
            </w:r>
          </w:p>
          <w:p w14:paraId="634199F8" w14:textId="77777777" w:rsidR="00D81E0B" w:rsidRPr="004264A0" w:rsidRDefault="00D81E0B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Humanities; contextual information about musical styles, time place, socio-economic factors and cultural fusion.</w:t>
            </w:r>
          </w:p>
        </w:tc>
      </w:tr>
      <w:tr w:rsidR="0044410D" w:rsidRPr="004264A0" w14:paraId="5136024C" w14:textId="77777777" w:rsidTr="00774B72">
        <w:trPr>
          <w:trHeight w:val="684"/>
        </w:trPr>
        <w:tc>
          <w:tcPr>
            <w:tcW w:w="1702" w:type="dxa"/>
          </w:tcPr>
          <w:p w14:paraId="6E68E1CB" w14:textId="77777777" w:rsidR="0044410D" w:rsidRPr="004264A0" w:rsidRDefault="00EE0D03" w:rsidP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Extracurricular opportunities</w:t>
            </w:r>
          </w:p>
        </w:tc>
        <w:tc>
          <w:tcPr>
            <w:tcW w:w="8505" w:type="dxa"/>
          </w:tcPr>
          <w:p w14:paraId="48AB14A5" w14:textId="77777777" w:rsidR="0044410D" w:rsidRPr="004264A0" w:rsidRDefault="00D81E0B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Opportunities to participate in ensembles with a range of internal and external performances </w:t>
            </w:r>
            <w:r w:rsidR="0075740C" w:rsidRPr="004264A0">
              <w:rPr>
                <w:rFonts w:ascii="Neutraface Text Book" w:hAnsi="Neutraface Text Book"/>
                <w:sz w:val="20"/>
                <w:szCs w:val="20"/>
              </w:rPr>
              <w:t>and working with external music practitioners.</w:t>
            </w:r>
          </w:p>
          <w:p w14:paraId="6643C6FF" w14:textId="77777777" w:rsidR="00C21FA7" w:rsidRPr="004264A0" w:rsidRDefault="00C21FA7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Use of facilities to develop group performances with staff coaching</w:t>
            </w:r>
          </w:p>
        </w:tc>
      </w:tr>
      <w:tr w:rsidR="0044410D" w:rsidRPr="004264A0" w14:paraId="39CC7E53" w14:textId="77777777" w:rsidTr="00774B72">
        <w:tc>
          <w:tcPr>
            <w:tcW w:w="1702" w:type="dxa"/>
          </w:tcPr>
          <w:p w14:paraId="2002F966" w14:textId="77777777" w:rsidR="0044410D" w:rsidRPr="004264A0" w:rsidRDefault="00EE0D03" w:rsidP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A successful learner in this subject will demonstrate</w:t>
            </w:r>
          </w:p>
        </w:tc>
        <w:tc>
          <w:tcPr>
            <w:tcW w:w="8505" w:type="dxa"/>
          </w:tcPr>
          <w:p w14:paraId="2D268517" w14:textId="77777777" w:rsidR="0044410D" w:rsidRPr="004264A0" w:rsidRDefault="0075740C" w:rsidP="00E920A4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The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 xml:space="preserve"> ability to perform accurately and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fluently on a </w:t>
            </w:r>
            <w:r w:rsidR="00D43542" w:rsidRPr="004264A0">
              <w:rPr>
                <w:rFonts w:ascii="Neutraface Text Book" w:hAnsi="Neutraface Text Book"/>
                <w:sz w:val="20"/>
                <w:szCs w:val="20"/>
              </w:rPr>
              <w:t>chosen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 instrument</w:t>
            </w:r>
            <w:r w:rsidR="00D43542" w:rsidRPr="004264A0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 xml:space="preserve">in different styles, demonstrating progress in technical ability, dexterity, stamina and control of the instrument.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Will demonstrate </w:t>
            </w:r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>musical precision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, problem solving, </w:t>
            </w:r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 xml:space="preserve">fluent and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expressive musical communication</w:t>
            </w:r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 xml:space="preserve"> with increasingly complex pieces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, evaluate and articulate progress</w:t>
            </w:r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 xml:space="preserve"> with target setting and start to 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>analyse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 music using 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>appropriate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 music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>al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 terms.</w:t>
            </w:r>
            <w:r w:rsidR="00D43542" w:rsidRPr="004264A0">
              <w:rPr>
                <w:rFonts w:ascii="Neutraface Text Book" w:hAnsi="Neutraface Text Book"/>
                <w:sz w:val="20"/>
                <w:szCs w:val="20"/>
              </w:rPr>
              <w:t xml:space="preserve"> Collaborate to create performances of contemporary music.</w:t>
            </w:r>
            <w:r w:rsidR="00E920A4" w:rsidRPr="004264A0">
              <w:rPr>
                <w:rFonts w:ascii="Neutraface Text Book" w:hAnsi="Neutraface Text Book"/>
                <w:sz w:val="20"/>
                <w:szCs w:val="20"/>
              </w:rPr>
              <w:t xml:space="preserve"> Have the ability to link different styles of contemporary music.</w:t>
            </w:r>
          </w:p>
        </w:tc>
      </w:tr>
      <w:tr w:rsidR="0044410D" w:rsidRPr="004264A0" w14:paraId="6B604A1C" w14:textId="77777777" w:rsidTr="00774B72">
        <w:tc>
          <w:tcPr>
            <w:tcW w:w="1702" w:type="dxa"/>
          </w:tcPr>
          <w:p w14:paraId="75170E1E" w14:textId="77777777" w:rsidR="0044410D" w:rsidRPr="004264A0" w:rsidRDefault="00EE0D03" w:rsidP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Impact on personal development</w:t>
            </w:r>
          </w:p>
        </w:tc>
        <w:tc>
          <w:tcPr>
            <w:tcW w:w="8505" w:type="dxa"/>
          </w:tcPr>
          <w:p w14:paraId="1085782F" w14:textId="77777777" w:rsidR="0044410D" w:rsidRPr="004264A0" w:rsidRDefault="0075740C" w:rsidP="0075740C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Students will </w:t>
            </w:r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 xml:space="preserve">continue to </w:t>
            </w:r>
            <w:r w:rsidRPr="004264A0">
              <w:rPr>
                <w:rFonts w:ascii="Neutraface Text Book" w:hAnsi="Neutraface Text Book"/>
                <w:sz w:val="20"/>
                <w:szCs w:val="20"/>
              </w:rPr>
              <w:t>develop resilience, problem solving, confidence, collaboration, independence, presentation, leadership and negotiation skills.</w:t>
            </w:r>
          </w:p>
        </w:tc>
      </w:tr>
    </w:tbl>
    <w:p w14:paraId="6808065C" w14:textId="77777777" w:rsidR="0044410D" w:rsidRPr="004264A0" w:rsidRDefault="0044410D">
      <w:pPr>
        <w:rPr>
          <w:rFonts w:ascii="Neutraface Text Book" w:hAnsi="Neutraface Text Book"/>
          <w:sz w:val="20"/>
          <w:szCs w:val="20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4410D" w:rsidRPr="004264A0" w14:paraId="016812B3" w14:textId="77777777" w:rsidTr="00774B72">
        <w:tc>
          <w:tcPr>
            <w:tcW w:w="10207" w:type="dxa"/>
          </w:tcPr>
          <w:p w14:paraId="16E8F0BC" w14:textId="77777777" w:rsidR="0044410D" w:rsidRPr="004264A0" w:rsidRDefault="00EE0D03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Ways to support student learning in this subject</w:t>
            </w:r>
          </w:p>
        </w:tc>
      </w:tr>
      <w:tr w:rsidR="0044410D" w:rsidRPr="004264A0" w14:paraId="060B624B" w14:textId="77777777" w:rsidTr="00774B72">
        <w:trPr>
          <w:trHeight w:val="2244"/>
        </w:trPr>
        <w:tc>
          <w:tcPr>
            <w:tcW w:w="10207" w:type="dxa"/>
          </w:tcPr>
          <w:p w14:paraId="10A20B90" w14:textId="77777777" w:rsidR="0044410D" w:rsidRPr="004264A0" w:rsidRDefault="00D43542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An expectation to participate</w:t>
            </w:r>
            <w:r w:rsidR="0075740C" w:rsidRPr="004264A0">
              <w:rPr>
                <w:rFonts w:ascii="Neutraface Text Book" w:hAnsi="Neutraface Text Book"/>
                <w:sz w:val="20"/>
                <w:szCs w:val="20"/>
              </w:rPr>
              <w:t xml:space="preserve"> in extra-curricular music ensembles and attend school performances throughout the year.</w:t>
            </w:r>
          </w:p>
          <w:p w14:paraId="33A23F13" w14:textId="77777777" w:rsidR="00C21FA7" w:rsidRPr="004264A0" w:rsidRDefault="00C21FA7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An expectation to make use of music department facilities to rehearse in groups during non-contact time.</w:t>
            </w:r>
          </w:p>
          <w:p w14:paraId="725A7DE0" w14:textId="77777777" w:rsidR="00EA2104" w:rsidRPr="004264A0" w:rsidRDefault="00EA2104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 xml:space="preserve">Consider instrumental tuition (options ranging from individual to large group tuition on a variety of different instruments). </w:t>
            </w:r>
          </w:p>
          <w:p w14:paraId="149BE4E3" w14:textId="77777777" w:rsidR="0075740C" w:rsidRPr="004264A0" w:rsidRDefault="0075740C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Use Focus on Sound regularly to support classroom learning and complete homework tasks.</w:t>
            </w:r>
          </w:p>
          <w:p w14:paraId="3BA8A6EA" w14:textId="77777777" w:rsidR="0075740C" w:rsidRPr="004264A0" w:rsidRDefault="0075740C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4264A0">
              <w:rPr>
                <w:rFonts w:ascii="Neutraface Text Book" w:hAnsi="Neutraface Text Book"/>
                <w:sz w:val="20"/>
                <w:szCs w:val="20"/>
              </w:rPr>
              <w:t>Additional</w:t>
            </w:r>
            <w:r w:rsidR="00EA2104" w:rsidRPr="004264A0">
              <w:rPr>
                <w:rFonts w:ascii="Neutraface Text Book" w:hAnsi="Neutraface Text Book"/>
                <w:sz w:val="20"/>
                <w:szCs w:val="20"/>
              </w:rPr>
              <w:t xml:space="preserve"> resources to support your child’s understanding include;</w:t>
            </w:r>
          </w:p>
          <w:p w14:paraId="50183FAA" w14:textId="77777777" w:rsidR="00EA2104" w:rsidRPr="004264A0" w:rsidRDefault="00911D8C" w:rsidP="00F26230">
            <w:pPr>
              <w:rPr>
                <w:rStyle w:val="Hyperlink"/>
                <w:rFonts w:ascii="Neutraface Text Book" w:hAnsi="Neutraface Text Book"/>
                <w:sz w:val="20"/>
                <w:szCs w:val="20"/>
              </w:rPr>
            </w:pPr>
            <w:hyperlink r:id="rId9" w:history="1">
              <w:r w:rsidR="00F26230" w:rsidRPr="004264A0">
                <w:rPr>
                  <w:rStyle w:val="Hyperlink"/>
                  <w:rFonts w:ascii="Neutraface Text Book" w:hAnsi="Neutraface Text Book"/>
                  <w:sz w:val="20"/>
                  <w:szCs w:val="20"/>
                </w:rPr>
                <w:t>https://www.musictheory.net/</w:t>
              </w:r>
            </w:hyperlink>
            <w:r w:rsidR="00F26230" w:rsidRPr="004264A0">
              <w:rPr>
                <w:rFonts w:ascii="Neutraface Text Book" w:hAnsi="Neutraface Text Book"/>
                <w:sz w:val="20"/>
                <w:szCs w:val="20"/>
              </w:rPr>
              <w:t xml:space="preserve">          </w:t>
            </w:r>
            <w:hyperlink r:id="rId10" w:history="1">
              <w:r w:rsidR="00EA2104" w:rsidRPr="004264A0">
                <w:rPr>
                  <w:rStyle w:val="Hyperlink"/>
                  <w:rFonts w:ascii="Neutraface Text Book" w:hAnsi="Neutraface Text Book"/>
                  <w:sz w:val="20"/>
                  <w:szCs w:val="20"/>
                </w:rPr>
                <w:t>https://www.bbc.co.uk/bitesize/subjects/zpf3cdm</w:t>
              </w:r>
            </w:hyperlink>
          </w:p>
          <w:p w14:paraId="74C0084D" w14:textId="2657052D" w:rsidR="00E920A4" w:rsidRPr="004264A0" w:rsidRDefault="00911D8C" w:rsidP="00F26230">
            <w:pPr>
              <w:rPr>
                <w:rFonts w:ascii="Neutraface Text Book" w:hAnsi="Neutraface Text Book"/>
                <w:sz w:val="20"/>
                <w:szCs w:val="20"/>
              </w:rPr>
            </w:pPr>
            <w:hyperlink r:id="rId11" w:history="1">
              <w:r w:rsidR="00E920A4" w:rsidRPr="004264A0">
                <w:rPr>
                  <w:rStyle w:val="Hyperlink"/>
                  <w:rFonts w:ascii="Neutraface Text Book" w:hAnsi="Neutraface Text Book"/>
                  <w:sz w:val="20"/>
                  <w:szCs w:val="20"/>
                </w:rPr>
                <w:t>https://musicmap.info/?fbclid=IwAR2JaevPXlfJfOe20orSq2w-CqiG2t6iqwidgqi6H5KCGKUB_tTsWEcmCIc</w:t>
              </w:r>
            </w:hyperlink>
          </w:p>
        </w:tc>
      </w:tr>
    </w:tbl>
    <w:p w14:paraId="7DC69582" w14:textId="77777777" w:rsidR="0044410D" w:rsidRPr="00EE0D03" w:rsidRDefault="0044410D">
      <w:pPr>
        <w:rPr>
          <w:rFonts w:ascii="Neutraface Text Book" w:hAnsi="Neutraface Text Book"/>
          <w:sz w:val="24"/>
        </w:rPr>
      </w:pPr>
    </w:p>
    <w:sectPr w:rsidR="0044410D" w:rsidRPr="00EE0D0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DBED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7D05CD04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98FB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1A9DA522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5BFC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43591AF" wp14:editId="1622952F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43591AF" wp14:editId="1622952F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183604"/>
    <w:rsid w:val="001B7608"/>
    <w:rsid w:val="00293FAC"/>
    <w:rsid w:val="00384BFD"/>
    <w:rsid w:val="003E35C5"/>
    <w:rsid w:val="004264A0"/>
    <w:rsid w:val="0044410D"/>
    <w:rsid w:val="0075740C"/>
    <w:rsid w:val="00774B72"/>
    <w:rsid w:val="007C3A7C"/>
    <w:rsid w:val="00837151"/>
    <w:rsid w:val="00885CCD"/>
    <w:rsid w:val="008D42EC"/>
    <w:rsid w:val="0096554B"/>
    <w:rsid w:val="00AC1539"/>
    <w:rsid w:val="00C13BB3"/>
    <w:rsid w:val="00C21FA7"/>
    <w:rsid w:val="00D43542"/>
    <w:rsid w:val="00D81E0B"/>
    <w:rsid w:val="00DA77E5"/>
    <w:rsid w:val="00E1322A"/>
    <w:rsid w:val="00E920A4"/>
    <w:rsid w:val="00EA2104"/>
    <w:rsid w:val="00EB5F0D"/>
    <w:rsid w:val="00EE0D03"/>
    <w:rsid w:val="00F2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E61F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character" w:styleId="Hyperlink">
    <w:name w:val="Hyperlink"/>
    <w:basedOn w:val="DefaultParagraphFont"/>
    <w:uiPriority w:val="99"/>
    <w:unhideWhenUsed/>
    <w:rsid w:val="00EA2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sicmap.info/?fbclid=IwAR2JaevPXlfJfOe20orSq2w-CqiG2t6iqwidgqi6H5KCGKUB_tTsWEcmC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bc.co.uk/bitesize/subjects/zpf3cd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usictheory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E34BE58BDDE4B98257D2EA3E2F330" ma:contentTypeVersion="14" ma:contentTypeDescription="Create a new document." ma:contentTypeScope="" ma:versionID="781fdaa3b6ae1d19dc89b1e538a8945a">
  <xsd:schema xmlns:xsd="http://www.w3.org/2001/XMLSchema" xmlns:xs="http://www.w3.org/2001/XMLSchema" xmlns:p="http://schemas.microsoft.com/office/2006/metadata/properties" xmlns:ns3="7f594be5-303d-4865-b1e1-9bd444df5c96" xmlns:ns4="cfc45cf0-b743-4d64-8498-4705a74929cc" targetNamespace="http://schemas.microsoft.com/office/2006/metadata/properties" ma:root="true" ma:fieldsID="7d4f6e8e8b8f2e13b46b04d27b5e9993" ns3:_="" ns4:_="">
    <xsd:import namespace="7f594be5-303d-4865-b1e1-9bd444df5c96"/>
    <xsd:import namespace="cfc45cf0-b743-4d64-8498-4705a7492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94be5-303d-4865-b1e1-9bd444df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5cf0-b743-4d64-8498-4705a749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1AE1A-3EBA-42AE-8471-02E00199E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94be5-303d-4865-b1e1-9bd444df5c96"/>
    <ds:schemaRef ds:uri="cfc45cf0-b743-4d64-8498-4705a749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55D93-218C-40AB-8F5E-BFFCD36DA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AD45F-1365-4B69-A002-5F234123E933}">
  <ds:schemaRefs>
    <ds:schemaRef ds:uri="http://purl.org/dc/dcmitype/"/>
    <ds:schemaRef ds:uri="cfc45cf0-b743-4d64-8498-4705a74929c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f594be5-303d-4865-b1e1-9bd444df5c9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Stephen Arkell</cp:lastModifiedBy>
  <cp:revision>2</cp:revision>
  <dcterms:created xsi:type="dcterms:W3CDTF">2022-10-05T12:38:00Z</dcterms:created>
  <dcterms:modified xsi:type="dcterms:W3CDTF">2022-10-05T12:38:00Z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0x010100BD7E34BE58BDDE4B98257D2EA3E2F330</vt:lpwstr>
  </property>
</Properties>
</file>