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EE998" w14:textId="77777777" w:rsidR="00EE0D03" w:rsidRPr="00EE0D03" w:rsidRDefault="006A4031" w:rsidP="00EE0D03">
      <w:pPr>
        <w:jc w:val="center"/>
        <w:rPr>
          <w:rFonts w:ascii="Neutraface Text Bold" w:hAnsi="Neutraface Text Bold"/>
          <w:b/>
        </w:rPr>
      </w:pPr>
      <w:r>
        <w:rPr>
          <w:rFonts w:ascii="Neutraface Text Bold" w:hAnsi="Neutraface Text Bold"/>
          <w:b/>
          <w:sz w:val="36"/>
        </w:rPr>
        <w:t>Sport Science – Year 1</w:t>
      </w:r>
      <w:r w:rsidR="00E05B1E">
        <w:rPr>
          <w:rFonts w:ascii="Neutraface Text Bold" w:hAnsi="Neutraface Text Bold"/>
          <w:b/>
          <w:sz w:val="36"/>
        </w:rPr>
        <w:t>1</w:t>
      </w:r>
    </w:p>
    <w:tbl>
      <w:tblPr>
        <w:tblStyle w:val="TableGrid"/>
        <w:tblW w:w="9356" w:type="dxa"/>
        <w:tblInd w:w="-289" w:type="dxa"/>
        <w:tblLook w:val="04A0" w:firstRow="1" w:lastRow="0" w:firstColumn="1" w:lastColumn="0" w:noHBand="0" w:noVBand="1"/>
      </w:tblPr>
      <w:tblGrid>
        <w:gridCol w:w="832"/>
        <w:gridCol w:w="3705"/>
        <w:gridCol w:w="845"/>
        <w:gridCol w:w="3923"/>
        <w:gridCol w:w="51"/>
      </w:tblGrid>
      <w:tr w:rsidR="001846C4" w:rsidRPr="00EE0D03" w14:paraId="58A86858" w14:textId="77777777" w:rsidTr="00EF71B3">
        <w:trPr>
          <w:cantSplit/>
          <w:trHeight w:val="1134"/>
        </w:trPr>
        <w:tc>
          <w:tcPr>
            <w:tcW w:w="832" w:type="dxa"/>
            <w:textDirection w:val="btLr"/>
          </w:tcPr>
          <w:p w14:paraId="605451F8" w14:textId="77777777" w:rsidR="001846C4" w:rsidRPr="00EE0D03" w:rsidRDefault="001846C4" w:rsidP="00EE0D03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 Theory Topics</w:t>
            </w:r>
          </w:p>
        </w:tc>
        <w:tc>
          <w:tcPr>
            <w:tcW w:w="8524" w:type="dxa"/>
            <w:gridSpan w:val="4"/>
            <w:shd w:val="clear" w:color="auto" w:fill="auto"/>
          </w:tcPr>
          <w:p w14:paraId="45C1B554" w14:textId="77777777" w:rsidR="00793DE1" w:rsidRPr="00EF71B3" w:rsidRDefault="00793DE1" w:rsidP="00EF71B3">
            <w:pPr>
              <w:rPr>
                <w:rFonts w:ascii="Neutraface Text Book" w:hAnsi="Neutraface Text Book"/>
                <w:sz w:val="24"/>
              </w:rPr>
            </w:pPr>
            <w:r w:rsidRPr="00EF71B3">
              <w:rPr>
                <w:rFonts w:ascii="Neutraface Text Book" w:hAnsi="Neutraface Text Book"/>
                <w:sz w:val="24"/>
              </w:rPr>
              <w:t xml:space="preserve">R183 – Nutrition and Sports Performance </w:t>
            </w:r>
            <w:r w:rsidRPr="00EF71B3">
              <w:rPr>
                <w:rFonts w:ascii="Neutraface Text Book" w:hAnsi="Neutraface Text Book"/>
                <w:b/>
                <w:bCs/>
                <w:sz w:val="24"/>
              </w:rPr>
              <w:t>OR</w:t>
            </w:r>
            <w:r w:rsidRPr="00EF71B3">
              <w:rPr>
                <w:rFonts w:ascii="Neutraface Text Book" w:hAnsi="Neutraface Text Book"/>
                <w:sz w:val="24"/>
              </w:rPr>
              <w:t xml:space="preserve"> </w:t>
            </w:r>
          </w:p>
          <w:p w14:paraId="33562392" w14:textId="77777777" w:rsidR="00793DE1" w:rsidRPr="00EF71B3" w:rsidRDefault="00793DE1" w:rsidP="00EF71B3">
            <w:pPr>
              <w:rPr>
                <w:rFonts w:ascii="Neutraface Text Book" w:hAnsi="Neutraface Text Book"/>
                <w:sz w:val="24"/>
              </w:rPr>
            </w:pPr>
            <w:r w:rsidRPr="00EF71B3">
              <w:rPr>
                <w:rFonts w:ascii="Neutraface Text Book" w:hAnsi="Neutraface Text Book"/>
                <w:sz w:val="24"/>
              </w:rPr>
              <w:t>R182 The Body’s Response to Physical Activity</w:t>
            </w:r>
          </w:p>
          <w:p w14:paraId="0D512223" w14:textId="296D04D0" w:rsidR="006A4031" w:rsidRPr="00EF71B3" w:rsidRDefault="006A4031" w:rsidP="00EF71B3">
            <w:pPr>
              <w:rPr>
                <w:rFonts w:ascii="Neutraface Text Book" w:hAnsi="Neutraface Text Book"/>
                <w:sz w:val="24"/>
              </w:rPr>
            </w:pPr>
          </w:p>
          <w:p w14:paraId="565E7667" w14:textId="351DA5CC" w:rsidR="00793DE1" w:rsidRPr="00EF71B3" w:rsidRDefault="00793DE1" w:rsidP="00EF71B3">
            <w:pPr>
              <w:rPr>
                <w:rFonts w:ascii="Neutraface Text Book" w:hAnsi="Neutraface Text Book"/>
                <w:sz w:val="24"/>
              </w:rPr>
            </w:pPr>
            <w:r w:rsidRPr="00EF71B3">
              <w:rPr>
                <w:rFonts w:ascii="Neutraface Text Book" w:hAnsi="Neutraface Text Book"/>
                <w:sz w:val="24"/>
              </w:rPr>
              <w:t>R18</w:t>
            </w:r>
            <w:r w:rsidR="00EF71B3" w:rsidRPr="00EF71B3">
              <w:rPr>
                <w:rFonts w:ascii="Neutraface Text Book" w:hAnsi="Neutraface Text Book"/>
                <w:sz w:val="24"/>
              </w:rPr>
              <w:t>0</w:t>
            </w:r>
            <w:r w:rsidRPr="00EF71B3">
              <w:rPr>
                <w:rFonts w:ascii="Neutraface Text Book" w:hAnsi="Neutraface Text Book"/>
                <w:sz w:val="24"/>
              </w:rPr>
              <w:t xml:space="preserve"> – Reducing the Risk of Sports Injuries</w:t>
            </w:r>
          </w:p>
          <w:p w14:paraId="53896304" w14:textId="77777777" w:rsidR="00A80603" w:rsidRPr="006C7CE3" w:rsidRDefault="00A80603" w:rsidP="00793DE1">
            <w:pPr>
              <w:jc w:val="center"/>
              <w:rPr>
                <w:rFonts w:ascii="Neutraface Text Book" w:hAnsi="Neutraface Text Book"/>
                <w:sz w:val="24"/>
                <w:highlight w:val="yellow"/>
              </w:rPr>
            </w:pPr>
          </w:p>
        </w:tc>
      </w:tr>
      <w:tr w:rsidR="00FB1ACF" w:rsidRPr="00EE0D03" w14:paraId="2780B56D" w14:textId="77777777" w:rsidTr="00EF71B3">
        <w:trPr>
          <w:cantSplit/>
          <w:trHeight w:val="1545"/>
        </w:trPr>
        <w:tc>
          <w:tcPr>
            <w:tcW w:w="832" w:type="dxa"/>
            <w:textDirection w:val="btLr"/>
          </w:tcPr>
          <w:p w14:paraId="4FB7D448" w14:textId="77777777" w:rsidR="00FB1ACF" w:rsidRPr="00EE0D03" w:rsidRDefault="00FB1ACF" w:rsidP="00EE0D03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As</w:t>
            </w:r>
            <w:r w:rsidRPr="00EE0D03">
              <w:rPr>
                <w:rFonts w:ascii="Neutraface Text Book" w:hAnsi="Neutraface Text Book"/>
                <w:sz w:val="24"/>
              </w:rPr>
              <w:t>sessment</w:t>
            </w:r>
          </w:p>
        </w:tc>
        <w:tc>
          <w:tcPr>
            <w:tcW w:w="8524" w:type="dxa"/>
            <w:gridSpan w:val="4"/>
          </w:tcPr>
          <w:p w14:paraId="1C4FD7D9" w14:textId="77777777" w:rsidR="00793DE1" w:rsidRDefault="00793DE1" w:rsidP="00BC48D2">
            <w:pPr>
              <w:jc w:val="center"/>
              <w:rPr>
                <w:rFonts w:ascii="Neutraface Text Book" w:hAnsi="Neutraface Text Book"/>
                <w:sz w:val="24"/>
                <w:highlight w:val="yellow"/>
              </w:rPr>
            </w:pPr>
          </w:p>
          <w:p w14:paraId="0355347B" w14:textId="77777777" w:rsidR="00EF71B3" w:rsidRDefault="00793DE1" w:rsidP="00EF71B3">
            <w:pPr>
              <w:rPr>
                <w:rFonts w:ascii="Neutraface Text Book" w:hAnsi="Neutraface Text Book"/>
                <w:sz w:val="24"/>
              </w:rPr>
            </w:pPr>
            <w:r w:rsidRPr="00EF71B3">
              <w:rPr>
                <w:rFonts w:ascii="Neutraface Text Book" w:hAnsi="Neutraface Text Book"/>
                <w:sz w:val="24"/>
              </w:rPr>
              <w:t xml:space="preserve">R183 and R182 contain non-examined assessments.  </w:t>
            </w:r>
          </w:p>
          <w:p w14:paraId="63202271" w14:textId="77777777" w:rsidR="00EF71B3" w:rsidRDefault="00EF71B3" w:rsidP="00EF71B3">
            <w:pPr>
              <w:rPr>
                <w:rFonts w:ascii="Neutraface Text Book" w:hAnsi="Neutraface Text Book"/>
                <w:sz w:val="24"/>
              </w:rPr>
            </w:pPr>
          </w:p>
          <w:p w14:paraId="4682EC66" w14:textId="76CAF4D9" w:rsidR="00793DE1" w:rsidRPr="00EF71B3" w:rsidRDefault="00793DE1" w:rsidP="00EF71B3">
            <w:pPr>
              <w:rPr>
                <w:rFonts w:ascii="Neutraface Text Book" w:hAnsi="Neutraface Text Book"/>
                <w:sz w:val="24"/>
              </w:rPr>
            </w:pPr>
            <w:bookmarkStart w:id="0" w:name="_GoBack"/>
            <w:bookmarkEnd w:id="0"/>
            <w:r w:rsidRPr="00EF71B3">
              <w:rPr>
                <w:rFonts w:ascii="Neutraface Text Book" w:hAnsi="Neutraface Text Book"/>
                <w:sz w:val="24"/>
              </w:rPr>
              <w:t>R18</w:t>
            </w:r>
            <w:r w:rsidR="00EF71B3" w:rsidRPr="00EF71B3">
              <w:rPr>
                <w:rFonts w:ascii="Neutraface Text Book" w:hAnsi="Neutraface Text Book"/>
                <w:sz w:val="24"/>
              </w:rPr>
              <w:t>0</w:t>
            </w:r>
            <w:r w:rsidRPr="00EF71B3">
              <w:rPr>
                <w:rFonts w:ascii="Neutraface Text Book" w:hAnsi="Neutraface Text Book"/>
                <w:sz w:val="24"/>
              </w:rPr>
              <w:t xml:space="preserve"> is assessed via a terminal exam in the June series at the end of Year 11.  </w:t>
            </w:r>
          </w:p>
          <w:p w14:paraId="0F216356" w14:textId="77777777" w:rsidR="00B46EE7" w:rsidRPr="006C7CE3" w:rsidRDefault="00B46EE7">
            <w:pPr>
              <w:rPr>
                <w:rFonts w:ascii="Neutraface Text Book" w:hAnsi="Neutraface Text Book"/>
                <w:sz w:val="24"/>
                <w:highlight w:val="yellow"/>
              </w:rPr>
            </w:pPr>
          </w:p>
          <w:p w14:paraId="0EECA4F3" w14:textId="77777777" w:rsidR="00B46EE7" w:rsidRPr="006C7CE3" w:rsidRDefault="00B46EE7">
            <w:pPr>
              <w:rPr>
                <w:rFonts w:ascii="Neutraface Text Book" w:hAnsi="Neutraface Text Book"/>
                <w:sz w:val="24"/>
                <w:highlight w:val="yellow"/>
              </w:rPr>
            </w:pPr>
          </w:p>
        </w:tc>
      </w:tr>
      <w:tr w:rsidR="0044410D" w:rsidRPr="00EE0D03" w14:paraId="1D534D59" w14:textId="77777777" w:rsidTr="00B46EE7">
        <w:trPr>
          <w:gridAfter w:val="1"/>
          <w:wAfter w:w="51" w:type="dxa"/>
          <w:cantSplit/>
          <w:trHeight w:val="1134"/>
        </w:trPr>
        <w:tc>
          <w:tcPr>
            <w:tcW w:w="832" w:type="dxa"/>
            <w:textDirection w:val="btLr"/>
          </w:tcPr>
          <w:p w14:paraId="0FBCE474" w14:textId="77777777" w:rsidR="0044410D" w:rsidRPr="00EE0D03" w:rsidRDefault="00EE0D03" w:rsidP="00704C19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Building on Prior Learning</w:t>
            </w:r>
          </w:p>
        </w:tc>
        <w:tc>
          <w:tcPr>
            <w:tcW w:w="8473" w:type="dxa"/>
            <w:gridSpan w:val="3"/>
          </w:tcPr>
          <w:p w14:paraId="7FCE8EEA" w14:textId="77777777" w:rsidR="00793DE1" w:rsidRDefault="00793DE1" w:rsidP="00793DE1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Sports Science formalises the broad range of skills and knowledge developed in KS3.  Lessons in both practical and classroom settings utilise prior learning to accelerate the development of course-specific knowledge.  The unitised course begins with two non-examined units and the externally assessed terminal exam is completed at the end of Year 11.  </w:t>
            </w:r>
          </w:p>
          <w:p w14:paraId="563DD64E" w14:textId="77777777" w:rsidR="00704C19" w:rsidRPr="00EE0D03" w:rsidRDefault="00704C19" w:rsidP="00EE5176">
            <w:pPr>
              <w:rPr>
                <w:rFonts w:ascii="Neutraface Text Book" w:hAnsi="Neutraface Text Book"/>
                <w:sz w:val="24"/>
              </w:rPr>
            </w:pPr>
          </w:p>
        </w:tc>
      </w:tr>
      <w:tr w:rsidR="0047035B" w:rsidRPr="00EE0D03" w14:paraId="30D662E6" w14:textId="77777777" w:rsidTr="00B46EE7">
        <w:trPr>
          <w:gridAfter w:val="1"/>
          <w:wAfter w:w="51" w:type="dxa"/>
          <w:cantSplit/>
          <w:trHeight w:val="1134"/>
        </w:trPr>
        <w:tc>
          <w:tcPr>
            <w:tcW w:w="832" w:type="dxa"/>
            <w:textDirection w:val="btLr"/>
          </w:tcPr>
          <w:p w14:paraId="1FCB0F19" w14:textId="77777777" w:rsidR="0047035B" w:rsidRDefault="0047035B" w:rsidP="00704C19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Linked learning</w:t>
            </w:r>
          </w:p>
        </w:tc>
        <w:tc>
          <w:tcPr>
            <w:tcW w:w="8473" w:type="dxa"/>
            <w:gridSpan w:val="3"/>
          </w:tcPr>
          <w:p w14:paraId="2236D5AF" w14:textId="77777777" w:rsidR="00793DE1" w:rsidRDefault="00793DE1" w:rsidP="00793DE1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The assignments in each unit grow in complexity and build knowledge towards practical application.  </w:t>
            </w:r>
            <w:r w:rsidRPr="000431EC">
              <w:rPr>
                <w:rFonts w:ascii="Neutraface Text Book" w:hAnsi="Neutraface Text Book"/>
                <w:sz w:val="24"/>
              </w:rPr>
              <w:t xml:space="preserve">In </w:t>
            </w:r>
            <w:r>
              <w:rPr>
                <w:rFonts w:ascii="Neutraface Text Book" w:hAnsi="Neutraface Text Book"/>
                <w:sz w:val="24"/>
              </w:rPr>
              <w:t>a number of</w:t>
            </w:r>
            <w:r w:rsidRPr="000431EC">
              <w:rPr>
                <w:rFonts w:ascii="Neutraface Text Book" w:hAnsi="Neutraface Text Book"/>
                <w:sz w:val="24"/>
              </w:rPr>
              <w:t xml:space="preserve"> assignments within </w:t>
            </w:r>
            <w:r>
              <w:rPr>
                <w:rFonts w:ascii="Neutraface Text Book" w:hAnsi="Neutraface Text Book"/>
                <w:sz w:val="24"/>
              </w:rPr>
              <w:t>the non-examined</w:t>
            </w:r>
            <w:r w:rsidRPr="000431EC">
              <w:rPr>
                <w:rFonts w:ascii="Neutraface Text Book" w:hAnsi="Neutraface Text Book"/>
                <w:sz w:val="24"/>
              </w:rPr>
              <w:t xml:space="preserve"> units, synoptic marks </w:t>
            </w:r>
            <w:r>
              <w:rPr>
                <w:rFonts w:ascii="Neutraface Text Book" w:hAnsi="Neutraface Text Book"/>
                <w:sz w:val="24"/>
              </w:rPr>
              <w:t xml:space="preserve">are </w:t>
            </w:r>
            <w:r w:rsidRPr="000431EC">
              <w:rPr>
                <w:rFonts w:ascii="Neutraface Text Book" w:hAnsi="Neutraface Text Book"/>
                <w:sz w:val="24"/>
              </w:rPr>
              <w:t>available</w:t>
            </w:r>
            <w:r>
              <w:rPr>
                <w:rFonts w:ascii="Neutraface Text Book" w:hAnsi="Neutraface Text Book"/>
                <w:sz w:val="24"/>
              </w:rPr>
              <w:t xml:space="preserve"> where pupils must refer to something they have previously been taught in the course. Assignments require a range of examples to support ideas and pupils should link their theoretical work with the current affairs in the sporting world. </w:t>
            </w:r>
          </w:p>
          <w:p w14:paraId="75D96A78" w14:textId="77777777" w:rsidR="00704C19" w:rsidRDefault="00704C19" w:rsidP="009D6B77">
            <w:pPr>
              <w:rPr>
                <w:rFonts w:ascii="Neutraface Text Book" w:hAnsi="Neutraface Text Book"/>
                <w:sz w:val="24"/>
              </w:rPr>
            </w:pPr>
          </w:p>
        </w:tc>
      </w:tr>
      <w:tr w:rsidR="0044410D" w:rsidRPr="00EE0D03" w14:paraId="5D906773" w14:textId="77777777" w:rsidTr="00B46EE7">
        <w:trPr>
          <w:gridAfter w:val="1"/>
          <w:wAfter w:w="51" w:type="dxa"/>
          <w:cantSplit/>
          <w:trHeight w:val="1134"/>
        </w:trPr>
        <w:tc>
          <w:tcPr>
            <w:tcW w:w="832" w:type="dxa"/>
            <w:textDirection w:val="btLr"/>
          </w:tcPr>
          <w:p w14:paraId="2B9CDB36" w14:textId="77777777" w:rsidR="0044410D" w:rsidRPr="00EE0D03" w:rsidRDefault="0047035B" w:rsidP="00704C19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Links with other subjects</w:t>
            </w:r>
          </w:p>
        </w:tc>
        <w:tc>
          <w:tcPr>
            <w:tcW w:w="8473" w:type="dxa"/>
            <w:gridSpan w:val="3"/>
          </w:tcPr>
          <w:p w14:paraId="3B926F4C" w14:textId="77777777" w:rsidR="009D6B77" w:rsidRDefault="003323B8" w:rsidP="009D6B77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S</w:t>
            </w:r>
            <w:r w:rsidR="009D6B77">
              <w:rPr>
                <w:rFonts w:ascii="Neutraface Text Book" w:hAnsi="Neutraface Text Book"/>
                <w:sz w:val="24"/>
              </w:rPr>
              <w:t>cience, specifically related to the conte</w:t>
            </w:r>
            <w:r>
              <w:rPr>
                <w:rFonts w:ascii="Neutraface Text Book" w:hAnsi="Neutraface Text Book"/>
                <w:sz w:val="24"/>
              </w:rPr>
              <w:t>nt on body systems. M</w:t>
            </w:r>
            <w:r w:rsidR="009D6B77">
              <w:rPr>
                <w:rFonts w:ascii="Neutraface Text Book" w:hAnsi="Neutraface Text Book"/>
                <w:sz w:val="24"/>
              </w:rPr>
              <w:t xml:space="preserve">athematics, specifically related to interpreting data, the calculation of training intensities and the measurement / timing in athletics. </w:t>
            </w:r>
            <w:r w:rsidR="00B85E31">
              <w:rPr>
                <w:rFonts w:ascii="Neutraface Text Book" w:hAnsi="Neutraface Text Book"/>
                <w:sz w:val="24"/>
              </w:rPr>
              <w:t xml:space="preserve">English, specifically related to key words and terminology and structuring </w:t>
            </w:r>
            <w:r w:rsidR="00C864E0">
              <w:rPr>
                <w:rFonts w:ascii="Neutraface Text Book" w:hAnsi="Neutraface Text Book"/>
                <w:sz w:val="24"/>
              </w:rPr>
              <w:t xml:space="preserve">assignments to include the required level of detail. </w:t>
            </w:r>
          </w:p>
          <w:p w14:paraId="7BC497CA" w14:textId="77777777" w:rsidR="00704C19" w:rsidRDefault="00704C19" w:rsidP="009D6B77">
            <w:pPr>
              <w:rPr>
                <w:rFonts w:ascii="Neutraface Text Book" w:hAnsi="Neutraface Text Book"/>
                <w:sz w:val="24"/>
              </w:rPr>
            </w:pPr>
          </w:p>
          <w:p w14:paraId="400010C7" w14:textId="77777777" w:rsidR="00704C19" w:rsidRPr="00EE0D03" w:rsidRDefault="00704C19" w:rsidP="009D6B77">
            <w:pPr>
              <w:rPr>
                <w:rFonts w:ascii="Neutraface Text Book" w:hAnsi="Neutraface Text Book"/>
                <w:sz w:val="24"/>
              </w:rPr>
            </w:pPr>
          </w:p>
        </w:tc>
      </w:tr>
      <w:tr w:rsidR="0044410D" w:rsidRPr="00EE0D03" w14:paraId="64B9C04C" w14:textId="77777777" w:rsidTr="00B46EE7">
        <w:trPr>
          <w:gridAfter w:val="1"/>
          <w:wAfter w:w="51" w:type="dxa"/>
          <w:cantSplit/>
          <w:trHeight w:val="1134"/>
        </w:trPr>
        <w:tc>
          <w:tcPr>
            <w:tcW w:w="832" w:type="dxa"/>
            <w:textDirection w:val="btLr"/>
          </w:tcPr>
          <w:p w14:paraId="07DD99B9" w14:textId="77777777" w:rsidR="0044410D" w:rsidRPr="00EE0D03" w:rsidRDefault="00EE0D03" w:rsidP="00704C19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Extracurricular opportunities</w:t>
            </w:r>
          </w:p>
        </w:tc>
        <w:tc>
          <w:tcPr>
            <w:tcW w:w="8473" w:type="dxa"/>
            <w:gridSpan w:val="3"/>
          </w:tcPr>
          <w:p w14:paraId="5B5EF3BF" w14:textId="77777777" w:rsidR="00B66435" w:rsidRPr="00EE0D03" w:rsidRDefault="00B66435" w:rsidP="0092231A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Those in need of additional support can access this outside of curricular time (revision sessions, catch-up workshops). </w:t>
            </w:r>
            <w:r w:rsidR="009D6B77">
              <w:rPr>
                <w:rFonts w:ascii="Neutraface Text Book" w:hAnsi="Neutraface Text Book"/>
                <w:sz w:val="24"/>
              </w:rPr>
              <w:t xml:space="preserve">Numerous </w:t>
            </w:r>
            <w:r w:rsidR="003323B8">
              <w:rPr>
                <w:rFonts w:ascii="Neutraface Text Book" w:hAnsi="Neutraface Text Book"/>
                <w:sz w:val="24"/>
              </w:rPr>
              <w:t xml:space="preserve">after school </w:t>
            </w:r>
            <w:r w:rsidR="00A20AB5">
              <w:rPr>
                <w:rFonts w:ascii="Neutraface Text Book" w:hAnsi="Neutraface Text Book"/>
                <w:sz w:val="24"/>
              </w:rPr>
              <w:t xml:space="preserve">extra-curricular clubs run in the </w:t>
            </w:r>
            <w:r w:rsidR="003323B8">
              <w:rPr>
                <w:rFonts w:ascii="Neutraface Text Book" w:hAnsi="Neutraface Text Book"/>
                <w:sz w:val="24"/>
              </w:rPr>
              <w:t xml:space="preserve">PE department throughout the year. </w:t>
            </w:r>
            <w:r w:rsidR="0047035B">
              <w:rPr>
                <w:rFonts w:ascii="Neutraface Text Book" w:hAnsi="Neutraface Text Book"/>
                <w:sz w:val="24"/>
              </w:rPr>
              <w:t xml:space="preserve">School fixtures/competitions </w:t>
            </w:r>
            <w:r w:rsidR="003323B8">
              <w:rPr>
                <w:rFonts w:ascii="Neutraface Text Book" w:hAnsi="Neutraface Text Book"/>
                <w:sz w:val="24"/>
              </w:rPr>
              <w:t>also give opportunity to compete in full recognised competitive games</w:t>
            </w:r>
            <w:r w:rsidR="0047035B">
              <w:rPr>
                <w:rFonts w:ascii="Neutraface Text Book" w:hAnsi="Neutraface Text Book"/>
                <w:sz w:val="24"/>
              </w:rPr>
              <w:t>/</w:t>
            </w:r>
            <w:r w:rsidR="003323B8">
              <w:rPr>
                <w:rFonts w:ascii="Neutraface Text Book" w:hAnsi="Neutraface Text Book"/>
                <w:sz w:val="24"/>
              </w:rPr>
              <w:t>events</w:t>
            </w:r>
            <w:r>
              <w:rPr>
                <w:rFonts w:ascii="Neutraface Text Book" w:hAnsi="Neutraface Text Book"/>
                <w:sz w:val="24"/>
              </w:rPr>
              <w:t xml:space="preserve"> in various sports. House competitions allow pupils to compete at a more recreational level. </w:t>
            </w:r>
            <w:r w:rsidR="003323B8">
              <w:rPr>
                <w:rFonts w:ascii="Neutraface Text Book" w:hAnsi="Neutraface Text Book"/>
                <w:sz w:val="24"/>
              </w:rPr>
              <w:t xml:space="preserve"> </w:t>
            </w:r>
          </w:p>
        </w:tc>
      </w:tr>
      <w:tr w:rsidR="00704C19" w:rsidRPr="00EE0D03" w14:paraId="304FC59C" w14:textId="77777777" w:rsidTr="00B46EE7">
        <w:trPr>
          <w:gridAfter w:val="1"/>
          <w:wAfter w:w="51" w:type="dxa"/>
          <w:cantSplit/>
          <w:trHeight w:val="1134"/>
        </w:trPr>
        <w:tc>
          <w:tcPr>
            <w:tcW w:w="832" w:type="dxa"/>
            <w:textDirection w:val="btLr"/>
          </w:tcPr>
          <w:p w14:paraId="4513229D" w14:textId="77777777" w:rsidR="0047035B" w:rsidRDefault="00704C19" w:rsidP="00704C19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Literacy</w:t>
            </w:r>
          </w:p>
        </w:tc>
        <w:tc>
          <w:tcPr>
            <w:tcW w:w="3705" w:type="dxa"/>
          </w:tcPr>
          <w:p w14:paraId="0A23B64F" w14:textId="77777777" w:rsidR="0047035B" w:rsidRDefault="00C30537" w:rsidP="0092231A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Use of key terminology and definitions. Ability to decipher the meaning of command words in </w:t>
            </w:r>
            <w:r w:rsidR="00D22684">
              <w:rPr>
                <w:rFonts w:ascii="Neutraface Text Book" w:hAnsi="Neutraface Text Book"/>
                <w:sz w:val="24"/>
              </w:rPr>
              <w:t>assignments</w:t>
            </w:r>
            <w:r>
              <w:rPr>
                <w:rFonts w:ascii="Neutraface Text Book" w:hAnsi="Neutraface Text Book"/>
                <w:sz w:val="24"/>
              </w:rPr>
              <w:t xml:space="preserve"> and in turn use the correct level of detail required. Ability to apply examples within their work to support their point. </w:t>
            </w:r>
          </w:p>
        </w:tc>
        <w:tc>
          <w:tcPr>
            <w:tcW w:w="845" w:type="dxa"/>
            <w:textDirection w:val="btLr"/>
          </w:tcPr>
          <w:p w14:paraId="17159CF0" w14:textId="77777777" w:rsidR="0047035B" w:rsidRDefault="00704C19" w:rsidP="00704C19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Numeracy</w:t>
            </w:r>
          </w:p>
        </w:tc>
        <w:tc>
          <w:tcPr>
            <w:tcW w:w="3923" w:type="dxa"/>
          </w:tcPr>
          <w:p w14:paraId="33326B6B" w14:textId="77777777" w:rsidR="00704C19" w:rsidRDefault="00C30537" w:rsidP="00D41E3B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 xml:space="preserve">Interpreting data that is presented in different formats, the calculation of training intensities, the measuring and recording of fitness testing data, </w:t>
            </w:r>
            <w:r w:rsidR="00D41E3B">
              <w:rPr>
                <w:rFonts w:ascii="Neutraface Text Book" w:hAnsi="Neutraface Text Book"/>
                <w:sz w:val="24"/>
              </w:rPr>
              <w:t>the comparison of data against national averages</w:t>
            </w:r>
            <w:r>
              <w:rPr>
                <w:rFonts w:ascii="Neutraface Text Book" w:hAnsi="Neutraface Text Book"/>
                <w:sz w:val="24"/>
              </w:rPr>
              <w:t xml:space="preserve"> and the measurement/timing in athletics.</w:t>
            </w:r>
          </w:p>
        </w:tc>
      </w:tr>
      <w:tr w:rsidR="0044410D" w:rsidRPr="00EE0D03" w14:paraId="341232B5" w14:textId="77777777" w:rsidTr="00B46EE7">
        <w:trPr>
          <w:gridAfter w:val="1"/>
          <w:wAfter w:w="51" w:type="dxa"/>
          <w:cantSplit/>
          <w:trHeight w:val="1134"/>
        </w:trPr>
        <w:tc>
          <w:tcPr>
            <w:tcW w:w="832" w:type="dxa"/>
            <w:textDirection w:val="btLr"/>
          </w:tcPr>
          <w:p w14:paraId="7F5CAE0F" w14:textId="77777777" w:rsidR="0044410D" w:rsidRPr="00EE0D03" w:rsidRDefault="00EE0D03" w:rsidP="00704C19">
            <w:pPr>
              <w:ind w:left="113" w:right="113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lastRenderedPageBreak/>
              <w:t>A successful learner in this subject will demonstrate</w:t>
            </w:r>
          </w:p>
        </w:tc>
        <w:tc>
          <w:tcPr>
            <w:tcW w:w="8473" w:type="dxa"/>
            <w:gridSpan w:val="3"/>
          </w:tcPr>
          <w:p w14:paraId="218E8517" w14:textId="77777777" w:rsidR="00704C19" w:rsidRDefault="00D22684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This course</w:t>
            </w:r>
            <w:r w:rsidRPr="00763800">
              <w:rPr>
                <w:rFonts w:ascii="Neutraface Text Book" w:hAnsi="Neutraface Text Book"/>
                <w:sz w:val="24"/>
              </w:rPr>
              <w:t xml:space="preserve"> </w:t>
            </w:r>
            <w:r>
              <w:rPr>
                <w:rFonts w:ascii="Neutraface Text Book" w:hAnsi="Neutraface Text Book"/>
                <w:sz w:val="24"/>
              </w:rPr>
              <w:t>provides learners with the</w:t>
            </w:r>
            <w:r w:rsidRPr="00763800">
              <w:rPr>
                <w:rFonts w:ascii="Neutraface Text Book" w:hAnsi="Neutraface Text Book"/>
                <w:sz w:val="24"/>
              </w:rPr>
              <w:t xml:space="preserve"> opportunity to study key areas of sport science including anatomy and physiology linked to fitness, health, injury and performance; the</w:t>
            </w:r>
            <w:r>
              <w:rPr>
                <w:rFonts w:ascii="Neutraface Text Book" w:hAnsi="Neutraface Text Book"/>
                <w:sz w:val="24"/>
              </w:rPr>
              <w:t xml:space="preserve"> </w:t>
            </w:r>
            <w:r w:rsidRPr="00763800">
              <w:rPr>
                <w:rFonts w:ascii="Neutraface Text Book" w:hAnsi="Neutraface Text Book"/>
                <w:sz w:val="24"/>
              </w:rPr>
              <w:t>science of training and application of training principles, and psychology in sport and sports performance</w:t>
            </w:r>
            <w:r>
              <w:rPr>
                <w:rFonts w:ascii="Neutraface Text Book" w:hAnsi="Neutraface Text Book"/>
                <w:sz w:val="24"/>
              </w:rPr>
              <w:t xml:space="preserve">.  Learners will develop and apply this knowledge in a variety of assessment format, using detailed relevant examples to access Merit, Distinction and Distinction* marks for their work. </w:t>
            </w:r>
          </w:p>
          <w:p w14:paraId="73947EC5" w14:textId="77777777" w:rsidR="00D22684" w:rsidRDefault="00D22684">
            <w:pPr>
              <w:rPr>
                <w:rFonts w:ascii="Neutraface Text Book" w:hAnsi="Neutraface Text Book"/>
                <w:sz w:val="24"/>
              </w:rPr>
            </w:pPr>
          </w:p>
          <w:p w14:paraId="22D04D58" w14:textId="77777777" w:rsidR="00704C19" w:rsidRDefault="00704C19">
            <w:pPr>
              <w:rPr>
                <w:rFonts w:ascii="Neutraface Text Book" w:hAnsi="Neutraface Text Book"/>
                <w:sz w:val="24"/>
              </w:rPr>
            </w:pPr>
          </w:p>
          <w:p w14:paraId="2C33F386" w14:textId="77777777" w:rsidR="00704C19" w:rsidRDefault="00704C19">
            <w:pPr>
              <w:rPr>
                <w:rFonts w:ascii="Neutraface Text Book" w:hAnsi="Neutraface Text Book"/>
                <w:sz w:val="24"/>
              </w:rPr>
            </w:pPr>
          </w:p>
          <w:p w14:paraId="60122B40" w14:textId="77777777" w:rsidR="00704C19" w:rsidRPr="00EE0D03" w:rsidRDefault="00704C19">
            <w:pPr>
              <w:rPr>
                <w:rFonts w:ascii="Neutraface Text Book" w:hAnsi="Neutraface Text Book"/>
                <w:sz w:val="24"/>
              </w:rPr>
            </w:pPr>
          </w:p>
        </w:tc>
      </w:tr>
      <w:tr w:rsidR="003D4967" w:rsidRPr="00EE0D03" w14:paraId="062A63F3" w14:textId="77777777" w:rsidTr="00B46EE7">
        <w:trPr>
          <w:gridAfter w:val="1"/>
          <w:wAfter w:w="51" w:type="dxa"/>
          <w:cantSplit/>
          <w:trHeight w:val="1134"/>
        </w:trPr>
        <w:tc>
          <w:tcPr>
            <w:tcW w:w="832" w:type="dxa"/>
            <w:textDirection w:val="btLr"/>
          </w:tcPr>
          <w:p w14:paraId="39301848" w14:textId="77777777" w:rsidR="003D4967" w:rsidRDefault="003D4967" w:rsidP="003D4967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Links to SMSC</w:t>
            </w:r>
          </w:p>
        </w:tc>
        <w:tc>
          <w:tcPr>
            <w:tcW w:w="8473" w:type="dxa"/>
            <w:gridSpan w:val="3"/>
          </w:tcPr>
          <w:p w14:paraId="0520436C" w14:textId="77777777" w:rsidR="00D1324F" w:rsidRPr="006C7CE3" w:rsidRDefault="00D1324F" w:rsidP="00D1324F">
            <w:pPr>
              <w:rPr>
                <w:rFonts w:ascii="Neutraface Text Book" w:hAnsi="Neutraface Text Book" w:cs="Arial"/>
                <w:color w:val="201F1E"/>
                <w:sz w:val="24"/>
              </w:rPr>
            </w:pPr>
            <w:r w:rsidRPr="006C7CE3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253. Provision for the spiritual development of pupils includes developing their:</w:t>
            </w:r>
          </w:p>
          <w:p w14:paraId="41C741BA" w14:textId="77777777" w:rsidR="00D1324F" w:rsidRPr="006C7CE3" w:rsidRDefault="00D1324F" w:rsidP="00D1324F">
            <w:pPr>
              <w:pStyle w:val="ListParagraph"/>
              <w:numPr>
                <w:ilvl w:val="0"/>
                <w:numId w:val="12"/>
              </w:numPr>
              <w:rPr>
                <w:rFonts w:ascii="Neutraface Text Book" w:hAnsi="Neutraface Text Book" w:cs="Arial"/>
                <w:color w:val="201F1E"/>
                <w:sz w:val="24"/>
              </w:rPr>
            </w:pPr>
            <w:r w:rsidRPr="006C7CE3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ability to be reflective about their own beliefs (religious or otherwise) and perspective on life</w:t>
            </w:r>
          </w:p>
          <w:p w14:paraId="14315EF4" w14:textId="77777777" w:rsidR="00D1324F" w:rsidRPr="006C7CE3" w:rsidRDefault="00D1324F" w:rsidP="00D1324F">
            <w:pPr>
              <w:pStyle w:val="ListParagraph"/>
              <w:numPr>
                <w:ilvl w:val="0"/>
                <w:numId w:val="12"/>
              </w:numPr>
              <w:rPr>
                <w:rFonts w:ascii="Neutraface Text Book" w:hAnsi="Neutraface Text Book" w:cs="Arial"/>
                <w:color w:val="201F1E"/>
                <w:sz w:val="24"/>
              </w:rPr>
            </w:pPr>
            <w:r w:rsidRPr="006C7CE3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sense of enjoyment and fascination in learning about themselves, others and the world around them</w:t>
            </w:r>
          </w:p>
          <w:p w14:paraId="45147D13" w14:textId="77777777" w:rsidR="00D1324F" w:rsidRPr="006C7CE3" w:rsidRDefault="00D1324F" w:rsidP="00D1324F">
            <w:pPr>
              <w:pStyle w:val="ListParagraph"/>
              <w:numPr>
                <w:ilvl w:val="0"/>
                <w:numId w:val="12"/>
              </w:numPr>
              <w:rPr>
                <w:rFonts w:ascii="Neutraface Text Book" w:hAnsi="Neutraface Text Book" w:cs="Arial"/>
                <w:color w:val="201F1E"/>
                <w:sz w:val="24"/>
              </w:rPr>
            </w:pPr>
            <w:r w:rsidRPr="006C7CE3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use of imagination and creativity in their learning</w:t>
            </w:r>
          </w:p>
          <w:p w14:paraId="3E0F11DA" w14:textId="77777777" w:rsidR="00D1324F" w:rsidRPr="006C7CE3" w:rsidRDefault="00D1324F" w:rsidP="00D1324F">
            <w:pPr>
              <w:pStyle w:val="ListParagraph"/>
              <w:numPr>
                <w:ilvl w:val="0"/>
                <w:numId w:val="12"/>
              </w:numPr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</w:pPr>
            <w:r w:rsidRPr="006C7CE3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willingness to reflect on their experiences</w:t>
            </w:r>
          </w:p>
          <w:p w14:paraId="632CAAC4" w14:textId="77777777" w:rsidR="00D1324F" w:rsidRPr="006C7CE3" w:rsidRDefault="00D1324F" w:rsidP="00D1324F">
            <w:pPr>
              <w:rPr>
                <w:rFonts w:ascii="Neutraface Text Book" w:hAnsi="Neutraface Text Book" w:cs="Arial"/>
                <w:color w:val="201F1E"/>
                <w:sz w:val="24"/>
              </w:rPr>
            </w:pPr>
          </w:p>
          <w:p w14:paraId="43A0017C" w14:textId="77777777" w:rsidR="00D1324F" w:rsidRPr="006C7CE3" w:rsidRDefault="00D1324F" w:rsidP="00D1324F">
            <w:pPr>
              <w:rPr>
                <w:rFonts w:ascii="Neutraface Text Book" w:hAnsi="Neutraface Text Book" w:cs="Arial"/>
                <w:color w:val="201F1E"/>
                <w:sz w:val="24"/>
              </w:rPr>
            </w:pPr>
            <w:r w:rsidRPr="006C7CE3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254. Provision for the moral development of pupils includes developing their:</w:t>
            </w:r>
          </w:p>
          <w:p w14:paraId="6C65DB8B" w14:textId="77777777" w:rsidR="00D1324F" w:rsidRPr="006C7CE3" w:rsidRDefault="00D1324F" w:rsidP="00D1324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</w:pPr>
            <w:r w:rsidRPr="006C7CE3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understanding of the consequences of their behaviour and actions</w:t>
            </w:r>
          </w:p>
          <w:p w14:paraId="1AA45A1C" w14:textId="77777777" w:rsidR="00D1324F" w:rsidRPr="006C7CE3" w:rsidRDefault="00D1324F" w:rsidP="00D1324F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</w:pPr>
            <w:r w:rsidRPr="006C7CE3">
              <w:rPr>
                <w:rFonts w:ascii="Neutraface Text Book" w:hAnsi="Neutraface Text Book" w:cs="Arial"/>
                <w:color w:val="0B0C0C"/>
                <w:sz w:val="24"/>
                <w:szCs w:val="29"/>
                <w:bdr w:val="none" w:sz="0" w:space="0" w:color="auto" w:frame="1"/>
              </w:rPr>
              <w:t>interest in investigating and offering reasoned views about moral and ethical issues and ability to understand and appreciate the viewpoints of others on these issues</w:t>
            </w:r>
          </w:p>
          <w:p w14:paraId="2E21AC54" w14:textId="77777777" w:rsidR="00D1324F" w:rsidRPr="006C7CE3" w:rsidRDefault="00D1324F" w:rsidP="00D1324F">
            <w:pPr>
              <w:rPr>
                <w:rFonts w:ascii="Neutraface Text Book" w:hAnsi="Neutraface Text Book" w:cs="Arial"/>
                <w:color w:val="201F1E"/>
                <w:sz w:val="24"/>
              </w:rPr>
            </w:pPr>
          </w:p>
          <w:p w14:paraId="5CDCE948" w14:textId="77777777" w:rsidR="00D1324F" w:rsidRPr="006C7CE3" w:rsidRDefault="00D1324F" w:rsidP="00D1324F">
            <w:pPr>
              <w:rPr>
                <w:rFonts w:ascii="Neutraface Text Book" w:hAnsi="Neutraface Text Book" w:cs="Arial"/>
                <w:color w:val="201F1E"/>
                <w:sz w:val="24"/>
              </w:rPr>
            </w:pPr>
            <w:r w:rsidRPr="006C7CE3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255. Provision for the social development of pupils includes developing their:</w:t>
            </w:r>
          </w:p>
          <w:p w14:paraId="21EE5609" w14:textId="77777777" w:rsidR="00D1324F" w:rsidRPr="006C7CE3" w:rsidRDefault="00D1324F" w:rsidP="00D1324F">
            <w:pPr>
              <w:pStyle w:val="ListParagraph"/>
              <w:numPr>
                <w:ilvl w:val="0"/>
                <w:numId w:val="10"/>
              </w:numPr>
              <w:rPr>
                <w:rFonts w:ascii="Neutraface Text Book" w:hAnsi="Neutraface Text Book" w:cs="Arial"/>
                <w:color w:val="201F1E"/>
                <w:sz w:val="24"/>
              </w:rPr>
            </w:pPr>
            <w:r w:rsidRPr="006C7CE3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use of a range of social skills in different contexts, for example working and socialising with other pupils, including those from different religious, ethnic and socio-economic backgrounds</w:t>
            </w:r>
          </w:p>
          <w:p w14:paraId="4F6759CE" w14:textId="77777777" w:rsidR="00D1324F" w:rsidRPr="006C7CE3" w:rsidRDefault="00D1324F" w:rsidP="00D1324F">
            <w:pPr>
              <w:pStyle w:val="ListParagraph"/>
              <w:numPr>
                <w:ilvl w:val="0"/>
                <w:numId w:val="10"/>
              </w:numPr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</w:pPr>
            <w:r w:rsidRPr="006C7CE3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willingness to participate in a variety of communities and social settings, including by volunteering, cooperating well with others and being able to resolve conflicts effectively</w:t>
            </w:r>
          </w:p>
          <w:p w14:paraId="4AED1910" w14:textId="77777777" w:rsidR="00D1324F" w:rsidRPr="006C7CE3" w:rsidRDefault="00D1324F" w:rsidP="00D1324F">
            <w:pPr>
              <w:rPr>
                <w:rFonts w:ascii="Neutraface Text Book" w:hAnsi="Neutraface Text Book" w:cs="Arial"/>
                <w:color w:val="201F1E"/>
                <w:sz w:val="24"/>
              </w:rPr>
            </w:pPr>
          </w:p>
          <w:p w14:paraId="04E763DE" w14:textId="77777777" w:rsidR="00D1324F" w:rsidRPr="006C7CE3" w:rsidRDefault="00D1324F" w:rsidP="00D1324F">
            <w:pPr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</w:pPr>
            <w:r w:rsidRPr="006C7CE3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256. Provision for the cultural development of pupils includes developing their:</w:t>
            </w:r>
          </w:p>
          <w:p w14:paraId="3BEEE216" w14:textId="77777777" w:rsidR="00D1324F" w:rsidRPr="006C7CE3" w:rsidRDefault="00D1324F" w:rsidP="00D1324F">
            <w:pPr>
              <w:rPr>
                <w:rFonts w:ascii="Neutraface Text Book" w:hAnsi="Neutraface Text Book" w:cs="Arial"/>
                <w:color w:val="201F1E"/>
                <w:sz w:val="24"/>
              </w:rPr>
            </w:pPr>
          </w:p>
          <w:p w14:paraId="566446CC" w14:textId="77777777" w:rsidR="003D4967" w:rsidRPr="006C7CE3" w:rsidRDefault="00D1324F" w:rsidP="00D1324F">
            <w:pPr>
              <w:pStyle w:val="ListParagraph"/>
              <w:numPr>
                <w:ilvl w:val="0"/>
                <w:numId w:val="13"/>
              </w:numPr>
              <w:rPr>
                <w:rFonts w:ascii="Neutraface Text Book" w:hAnsi="Neutraface Text Book"/>
                <w:sz w:val="24"/>
              </w:rPr>
            </w:pPr>
            <w:r w:rsidRPr="006C7CE3">
              <w:rPr>
                <w:rFonts w:ascii="Neutraface Text Book" w:hAnsi="Neutraface Text Book" w:cs="Arial"/>
                <w:sz w:val="24"/>
                <w:bdr w:val="none" w:sz="0" w:space="0" w:color="auto" w:frame="1"/>
              </w:rPr>
              <w:t>willingness to participate in and respond positively to artistic, musical, sporting and cultural opportunities</w:t>
            </w:r>
          </w:p>
          <w:p w14:paraId="5FFCF406" w14:textId="77777777" w:rsidR="00D1324F" w:rsidRPr="006C7CE3" w:rsidRDefault="00D1324F" w:rsidP="00D1324F">
            <w:pPr>
              <w:pStyle w:val="ListParagraph"/>
              <w:numPr>
                <w:ilvl w:val="0"/>
                <w:numId w:val="13"/>
              </w:numPr>
              <w:rPr>
                <w:rFonts w:ascii="Neutraface Text Book" w:hAnsi="Neutraface Text Book"/>
                <w:sz w:val="24"/>
              </w:rPr>
            </w:pPr>
            <w:r w:rsidRPr="006C7CE3">
              <w:rPr>
                <w:rFonts w:ascii="Neutraface Text Book" w:hAnsi="Neutraface Text Book" w:cs="Arial"/>
                <w:color w:val="0B0C0C"/>
                <w:sz w:val="24"/>
                <w:szCs w:val="29"/>
                <w:bdr w:val="none" w:sz="0" w:space="0" w:color="auto" w:frame="1"/>
              </w:rPr>
              <w:t>understanding and appreciation of the wide range of cultural influences that have shaped their own heritage and that of others</w:t>
            </w:r>
          </w:p>
        </w:tc>
      </w:tr>
      <w:tr w:rsidR="00704C19" w:rsidRPr="00EE0D03" w14:paraId="083F0CA4" w14:textId="77777777" w:rsidTr="00B46EE7">
        <w:trPr>
          <w:gridAfter w:val="1"/>
          <w:wAfter w:w="51" w:type="dxa"/>
          <w:cantSplit/>
          <w:trHeight w:val="1134"/>
        </w:trPr>
        <w:tc>
          <w:tcPr>
            <w:tcW w:w="832" w:type="dxa"/>
            <w:textDirection w:val="btLr"/>
          </w:tcPr>
          <w:p w14:paraId="2349059F" w14:textId="77777777" w:rsidR="00704C19" w:rsidRDefault="00704C19" w:rsidP="00704C19">
            <w:pPr>
              <w:ind w:left="113" w:right="113"/>
              <w:jc w:val="center"/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lastRenderedPageBreak/>
              <w:t>Ways to support student learning in this subject</w:t>
            </w:r>
          </w:p>
        </w:tc>
        <w:tc>
          <w:tcPr>
            <w:tcW w:w="8473" w:type="dxa"/>
            <w:gridSpan w:val="3"/>
          </w:tcPr>
          <w:p w14:paraId="43695BE9" w14:textId="77777777" w:rsidR="00D22684" w:rsidRP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  <w:r w:rsidRPr="00D22684">
              <w:rPr>
                <w:rFonts w:ascii="Neutraface Text Book" w:hAnsi="Neutraface Text Book"/>
                <w:sz w:val="24"/>
              </w:rPr>
              <w:t>Encourage your child to complete homework.</w:t>
            </w:r>
          </w:p>
          <w:p w14:paraId="3BF7C77F" w14:textId="77777777" w:rsid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</w:p>
          <w:p w14:paraId="2BAD226A" w14:textId="77777777" w:rsidR="00D22684" w:rsidRP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  <w:r w:rsidRPr="00D22684">
              <w:rPr>
                <w:rFonts w:ascii="Neutraface Text Book" w:hAnsi="Neutraface Text Book"/>
                <w:sz w:val="24"/>
              </w:rPr>
              <w:t xml:space="preserve">Engage them in conversations about their lessons.  </w:t>
            </w:r>
          </w:p>
          <w:p w14:paraId="2C0DF6BB" w14:textId="77777777" w:rsid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</w:p>
          <w:p w14:paraId="2EBF1C95" w14:textId="77777777" w:rsidR="00D22684" w:rsidRP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  <w:r w:rsidRPr="00D22684">
              <w:rPr>
                <w:rFonts w:ascii="Neutraface Text Book" w:hAnsi="Neutraface Text Book"/>
                <w:sz w:val="24"/>
              </w:rPr>
              <w:t xml:space="preserve">Ensure they have a revision timetable planning for the terminal exam. </w:t>
            </w:r>
          </w:p>
          <w:p w14:paraId="74B83FE4" w14:textId="77777777" w:rsid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</w:p>
          <w:p w14:paraId="5B77FDC5" w14:textId="77777777" w:rsidR="00D22684" w:rsidRP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  <w:r w:rsidRPr="00D22684">
              <w:rPr>
                <w:rFonts w:ascii="Neutraface Text Book" w:hAnsi="Neutraface Text Book"/>
                <w:sz w:val="24"/>
              </w:rPr>
              <w:t>Assist them when they are revising and researching.</w:t>
            </w:r>
          </w:p>
          <w:p w14:paraId="254F56CB" w14:textId="77777777" w:rsid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</w:p>
          <w:p w14:paraId="6FC1769F" w14:textId="77777777" w:rsidR="00704C19" w:rsidRDefault="00D22684" w:rsidP="00D22684">
            <w:pPr>
              <w:rPr>
                <w:rFonts w:ascii="Neutraface Text Book" w:hAnsi="Neutraface Text Book"/>
                <w:sz w:val="24"/>
              </w:rPr>
            </w:pPr>
            <w:r>
              <w:rPr>
                <w:rFonts w:ascii="Neutraface Text Book" w:hAnsi="Neutraface Text Book"/>
                <w:sz w:val="24"/>
              </w:rPr>
              <w:t>Purchase the course text book.</w:t>
            </w:r>
          </w:p>
          <w:p w14:paraId="6BF09989" w14:textId="77777777" w:rsidR="00D22684" w:rsidRDefault="00D22684" w:rsidP="00D22684">
            <w:pPr>
              <w:rPr>
                <w:rFonts w:ascii="Neutraface Text Book" w:hAnsi="Neutraface Text Book"/>
                <w:sz w:val="24"/>
              </w:rPr>
            </w:pPr>
          </w:p>
        </w:tc>
      </w:tr>
    </w:tbl>
    <w:p w14:paraId="75D4AA65" w14:textId="77777777" w:rsidR="0044410D" w:rsidRDefault="0044410D">
      <w:pPr>
        <w:rPr>
          <w:rFonts w:ascii="Neutraface Text Book" w:hAnsi="Neutraface Text Book"/>
          <w:sz w:val="24"/>
        </w:rPr>
      </w:pPr>
    </w:p>
    <w:p w14:paraId="7A99D515" w14:textId="77777777" w:rsidR="00A826E8" w:rsidRPr="00EE0D03" w:rsidRDefault="00A826E8" w:rsidP="001846C4">
      <w:pPr>
        <w:rPr>
          <w:rFonts w:ascii="Neutraface Text Book" w:hAnsi="Neutraface Text Book"/>
          <w:sz w:val="24"/>
        </w:rPr>
      </w:pPr>
    </w:p>
    <w:sectPr w:rsidR="00A826E8" w:rsidRPr="00EE0D0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C9DD7" w14:textId="77777777" w:rsidR="00EE0D03" w:rsidRDefault="00EE0D03" w:rsidP="00EE0D03">
      <w:pPr>
        <w:spacing w:after="0" w:line="240" w:lineRule="auto"/>
      </w:pPr>
      <w:r>
        <w:separator/>
      </w:r>
    </w:p>
  </w:endnote>
  <w:endnote w:type="continuationSeparator" w:id="0">
    <w:p w14:paraId="76CE32B0" w14:textId="77777777" w:rsidR="00EE0D03" w:rsidRDefault="00EE0D03" w:rsidP="00EE0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traface Text Book">
    <w:altName w:val="Calibri"/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utraface Text Bold">
    <w:altName w:val="Calibri"/>
    <w:panose1 w:val="02000800040000020004"/>
    <w:charset w:val="00"/>
    <w:family w:val="modern"/>
    <w:notTrueType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07226" w14:textId="77777777" w:rsidR="00EE0D03" w:rsidRDefault="00EE0D03" w:rsidP="00EE0D03">
      <w:pPr>
        <w:spacing w:after="0" w:line="240" w:lineRule="auto"/>
      </w:pPr>
      <w:r>
        <w:separator/>
      </w:r>
    </w:p>
  </w:footnote>
  <w:footnote w:type="continuationSeparator" w:id="0">
    <w:p w14:paraId="22DD613D" w14:textId="77777777" w:rsidR="00EE0D03" w:rsidRDefault="00EE0D03" w:rsidP="00EE0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CF569" w14:textId="77777777" w:rsidR="00EE0D03" w:rsidRDefault="00EE0D03">
    <w:pPr>
      <w:pStyle w:val="Header"/>
    </w:pP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59264" behindDoc="1" locked="0" layoutInCell="1" allowOverlap="1" wp14:anchorId="38D3E975" wp14:editId="34B0058C">
          <wp:simplePos x="0" y="0"/>
          <wp:positionH relativeFrom="column">
            <wp:posOffset>-790575</wp:posOffset>
          </wp:positionH>
          <wp:positionV relativeFrom="paragraph">
            <wp:posOffset>-135255</wp:posOffset>
          </wp:positionV>
          <wp:extent cx="2190750" cy="523875"/>
          <wp:effectExtent l="0" t="0" r="0" b="9525"/>
          <wp:wrapTight wrapText="bothSides">
            <wp:wrapPolygon edited="0">
              <wp:start x="0" y="0"/>
              <wp:lineTo x="0" y="21207"/>
              <wp:lineTo x="21412" y="21207"/>
              <wp:lineTo x="214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r="62138" b="41613"/>
                  <a:stretch/>
                </pic:blipFill>
                <pic:spPr bwMode="auto">
                  <a:xfrm>
                    <a:off x="0" y="0"/>
                    <a:ext cx="2190750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Neutraface Text Book" w:hAnsi="Neutraface Text Book"/>
        <w:noProof/>
        <w:lang w:eastAsia="en-GB"/>
      </w:rPr>
      <w:drawing>
        <wp:anchor distT="0" distB="0" distL="114300" distR="114300" simplePos="0" relativeHeight="251661312" behindDoc="1" locked="0" layoutInCell="1" allowOverlap="1" wp14:anchorId="5FD18FBE" wp14:editId="05845B98">
          <wp:simplePos x="0" y="0"/>
          <wp:positionH relativeFrom="column">
            <wp:posOffset>4610100</wp:posOffset>
          </wp:positionH>
          <wp:positionV relativeFrom="paragraph">
            <wp:posOffset>150495</wp:posOffset>
          </wp:positionV>
          <wp:extent cx="2190750" cy="295275"/>
          <wp:effectExtent l="0" t="0" r="0" b="9525"/>
          <wp:wrapTight wrapText="bothSides">
            <wp:wrapPolygon edited="0">
              <wp:start x="0" y="0"/>
              <wp:lineTo x="0" y="20903"/>
              <wp:lineTo x="21412" y="20903"/>
              <wp:lineTo x="21412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header jpg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" t="53079" r="62138" b="14013"/>
                  <a:stretch/>
                </pic:blipFill>
                <pic:spPr bwMode="auto">
                  <a:xfrm>
                    <a:off x="0" y="0"/>
                    <a:ext cx="2190750" cy="295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13C1F"/>
    <w:multiLevelType w:val="hybridMultilevel"/>
    <w:tmpl w:val="1D444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6E37"/>
    <w:multiLevelType w:val="hybridMultilevel"/>
    <w:tmpl w:val="EA706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6ACE"/>
    <w:multiLevelType w:val="hybridMultilevel"/>
    <w:tmpl w:val="43BC0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091"/>
    <w:multiLevelType w:val="hybridMultilevel"/>
    <w:tmpl w:val="B21672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918E7"/>
    <w:multiLevelType w:val="hybridMultilevel"/>
    <w:tmpl w:val="37809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C2147"/>
    <w:multiLevelType w:val="hybridMultilevel"/>
    <w:tmpl w:val="BA086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F76F37"/>
    <w:multiLevelType w:val="hybridMultilevel"/>
    <w:tmpl w:val="C7628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C48E9"/>
    <w:multiLevelType w:val="hybridMultilevel"/>
    <w:tmpl w:val="26A6F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C1E84"/>
    <w:multiLevelType w:val="hybridMultilevel"/>
    <w:tmpl w:val="C2549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32D1D"/>
    <w:multiLevelType w:val="hybridMultilevel"/>
    <w:tmpl w:val="85544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0B04"/>
    <w:multiLevelType w:val="hybridMultilevel"/>
    <w:tmpl w:val="94AE3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97291"/>
    <w:multiLevelType w:val="hybridMultilevel"/>
    <w:tmpl w:val="24E6D00C"/>
    <w:lvl w:ilvl="0" w:tplc="8286ED46">
      <w:numFmt w:val="bullet"/>
      <w:lvlText w:val="-"/>
      <w:lvlJc w:val="left"/>
      <w:pPr>
        <w:ind w:left="720" w:hanging="360"/>
      </w:pPr>
      <w:rPr>
        <w:rFonts w:ascii="Neutraface Text Book" w:eastAsiaTheme="minorHAnsi" w:hAnsi="Neutraface Text Boo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B606E"/>
    <w:multiLevelType w:val="hybridMultilevel"/>
    <w:tmpl w:val="0EE2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F054C"/>
    <w:multiLevelType w:val="hybridMultilevel"/>
    <w:tmpl w:val="727C8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13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0D"/>
    <w:rsid w:val="00015778"/>
    <w:rsid w:val="000431EC"/>
    <w:rsid w:val="000A7BBE"/>
    <w:rsid w:val="000D1F6A"/>
    <w:rsid w:val="001846C4"/>
    <w:rsid w:val="001B7608"/>
    <w:rsid w:val="001D790C"/>
    <w:rsid w:val="001E7CB4"/>
    <w:rsid w:val="002A7619"/>
    <w:rsid w:val="002E4D55"/>
    <w:rsid w:val="003323B8"/>
    <w:rsid w:val="00366234"/>
    <w:rsid w:val="003C5A90"/>
    <w:rsid w:val="003D4967"/>
    <w:rsid w:val="0044410D"/>
    <w:rsid w:val="0047035B"/>
    <w:rsid w:val="00492A77"/>
    <w:rsid w:val="004A4E09"/>
    <w:rsid w:val="00567934"/>
    <w:rsid w:val="005729AE"/>
    <w:rsid w:val="00677631"/>
    <w:rsid w:val="006A4031"/>
    <w:rsid w:val="006C7CE3"/>
    <w:rsid w:val="00704C19"/>
    <w:rsid w:val="00724804"/>
    <w:rsid w:val="00743312"/>
    <w:rsid w:val="00765BA3"/>
    <w:rsid w:val="0078277E"/>
    <w:rsid w:val="00793DE1"/>
    <w:rsid w:val="00837151"/>
    <w:rsid w:val="00852628"/>
    <w:rsid w:val="0092231A"/>
    <w:rsid w:val="00940C7D"/>
    <w:rsid w:val="009A60A9"/>
    <w:rsid w:val="009D0C4E"/>
    <w:rsid w:val="009D6B77"/>
    <w:rsid w:val="009D6C09"/>
    <w:rsid w:val="00A20AB5"/>
    <w:rsid w:val="00A26A80"/>
    <w:rsid w:val="00A57CC3"/>
    <w:rsid w:val="00A7246D"/>
    <w:rsid w:val="00A80603"/>
    <w:rsid w:val="00A826E8"/>
    <w:rsid w:val="00B37F07"/>
    <w:rsid w:val="00B46EE7"/>
    <w:rsid w:val="00B66435"/>
    <w:rsid w:val="00B85E31"/>
    <w:rsid w:val="00BC48D2"/>
    <w:rsid w:val="00C30537"/>
    <w:rsid w:val="00C4697C"/>
    <w:rsid w:val="00C864E0"/>
    <w:rsid w:val="00D02813"/>
    <w:rsid w:val="00D1324F"/>
    <w:rsid w:val="00D22684"/>
    <w:rsid w:val="00D41E3B"/>
    <w:rsid w:val="00E05B1E"/>
    <w:rsid w:val="00EB5F0D"/>
    <w:rsid w:val="00ED2478"/>
    <w:rsid w:val="00EE0D03"/>
    <w:rsid w:val="00EE5176"/>
    <w:rsid w:val="00EF71B3"/>
    <w:rsid w:val="00F34E32"/>
    <w:rsid w:val="00F97569"/>
    <w:rsid w:val="00F97E3C"/>
    <w:rsid w:val="00FB1ACF"/>
    <w:rsid w:val="00FC384E"/>
    <w:rsid w:val="00FE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A84B0"/>
  <w15:chartTrackingRefBased/>
  <w15:docId w15:val="{8BD0D164-342B-4966-874A-89E3955BB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D03"/>
  </w:style>
  <w:style w:type="paragraph" w:styleId="Footer">
    <w:name w:val="footer"/>
    <w:basedOn w:val="Normal"/>
    <w:link w:val="FooterChar"/>
    <w:uiPriority w:val="99"/>
    <w:unhideWhenUsed/>
    <w:rsid w:val="00EE0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D03"/>
  </w:style>
  <w:style w:type="paragraph" w:styleId="ListParagraph">
    <w:name w:val="List Paragraph"/>
    <w:basedOn w:val="Normal"/>
    <w:uiPriority w:val="34"/>
    <w:qFormat/>
    <w:rsid w:val="00B85E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6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Droitwich Spa High School</Company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SA</dc:creator>
  <cp:keywords/>
  <dc:description/>
  <cp:lastModifiedBy>Pope, PR (Staff, Bulman House)</cp:lastModifiedBy>
  <cp:revision>2</cp:revision>
  <dcterms:created xsi:type="dcterms:W3CDTF">2022-10-06T09:19:00Z</dcterms:created>
  <dcterms:modified xsi:type="dcterms:W3CDTF">2022-10-06T09:19:00Z</dcterms:modified>
</cp:coreProperties>
</file>